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1D2E196D"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0A696D">
        <w:rPr>
          <w:rFonts w:cs="Arial"/>
          <w:b/>
          <w:sz w:val="24"/>
          <w:szCs w:val="24"/>
        </w:rPr>
        <w:t>1</w:t>
      </w:r>
      <w:r w:rsidR="00CC7830">
        <w:rPr>
          <w:rFonts w:cs="Arial"/>
          <w:b/>
          <w:sz w:val="24"/>
          <w:szCs w:val="24"/>
        </w:rPr>
        <w:t>e</w:t>
      </w:r>
      <w:r w:rsidR="006358BA">
        <w:rPr>
          <w:b/>
          <w:i/>
          <w:noProof/>
          <w:sz w:val="28"/>
        </w:rPr>
        <w:tab/>
      </w:r>
      <w:r w:rsidR="00C54D06" w:rsidRPr="00C54D06">
        <w:rPr>
          <w:rFonts w:cs="Arial"/>
          <w:b/>
          <w:sz w:val="24"/>
          <w:szCs w:val="24"/>
        </w:rPr>
        <w:t>R4-211</w:t>
      </w:r>
      <w:r w:rsidR="00805E19">
        <w:rPr>
          <w:rFonts w:cs="Arial"/>
          <w:b/>
          <w:sz w:val="24"/>
          <w:szCs w:val="24"/>
        </w:rPr>
        <w:t>9591</w:t>
      </w:r>
    </w:p>
    <w:p w14:paraId="31DCE6A5" w14:textId="506D5E72"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0A696D">
        <w:rPr>
          <w:b/>
          <w:sz w:val="24"/>
          <w:szCs w:val="24"/>
          <w:lang w:eastAsia="zh-CN"/>
        </w:rPr>
        <w:t>Nov. 1</w:t>
      </w:r>
      <w:r w:rsidR="000A696D" w:rsidRPr="00BF1228">
        <w:rPr>
          <w:b/>
          <w:sz w:val="24"/>
          <w:szCs w:val="24"/>
          <w:lang w:eastAsia="zh-CN"/>
        </w:rPr>
        <w:t>-</w:t>
      </w:r>
      <w:r w:rsidR="000A696D">
        <w:rPr>
          <w:b/>
          <w:sz w:val="24"/>
          <w:szCs w:val="24"/>
          <w:lang w:eastAsia="zh-CN"/>
        </w:rPr>
        <w:t>12</w:t>
      </w:r>
      <w:r w:rsidR="000A696D" w:rsidRPr="00BF1228">
        <w:rPr>
          <w:b/>
          <w:sz w:val="24"/>
          <w:szCs w:val="24"/>
          <w:lang w:eastAsia="zh-CN"/>
        </w:rPr>
        <w:t>, 202</w:t>
      </w:r>
      <w:r w:rsidR="000A696D">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07156652"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04041">
        <w:rPr>
          <w:rFonts w:cs="Arial"/>
          <w:sz w:val="22"/>
        </w:rPr>
        <w:t>BCS4 MSD improvements</w:t>
      </w:r>
    </w:p>
    <w:p w14:paraId="62B5D7F8" w14:textId="6B29DA2C"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604041" w:rsidRPr="00604041">
        <w:rPr>
          <w:rFonts w:ascii="Arial" w:hAnsi="Arial" w:cs="Arial"/>
          <w:sz w:val="22"/>
        </w:rPr>
        <w:t>7.26.2 UE RF requirements for BCS4/BCS5 [NR_BCS4-Core]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ED7085D" w:rsidR="00577141" w:rsidRDefault="005C314F" w:rsidP="00577141">
      <w:pPr>
        <w:overflowPunct/>
        <w:autoSpaceDE/>
        <w:autoSpaceDN/>
        <w:adjustRightInd/>
        <w:spacing w:after="0"/>
        <w:jc w:val="both"/>
        <w:textAlignment w:val="auto"/>
        <w:rPr>
          <w:rFonts w:eastAsia="SimSun"/>
          <w:lang w:eastAsia="zh-CN"/>
        </w:rPr>
      </w:pPr>
      <w:r>
        <w:rPr>
          <w:rFonts w:eastAsia="SimSun"/>
          <w:lang w:eastAsia="zh-CN"/>
        </w:rPr>
        <w:t>At RAN4#100, options to reduce RAN4 workload on studying maximum sensitivity degradation (MSD) due to harmonic interference and MSD due to cross-band isolation were agreed</w:t>
      </w:r>
      <w:r w:rsidR="00207DC0">
        <w:rPr>
          <w:rFonts w:eastAsia="SimSun"/>
          <w:lang w:eastAsia="zh-CN"/>
        </w:rPr>
        <w:t xml:space="preserve"> upon</w:t>
      </w:r>
      <w:r>
        <w:rPr>
          <w:rFonts w:eastAsia="SimSun"/>
          <w:lang w:eastAsia="zh-CN"/>
        </w:rPr>
        <w:t xml:space="preserve"> to handle new BCS4/BCS5 requests [1]. </w:t>
      </w:r>
      <w:r w:rsidR="006068E6" w:rsidRPr="006068E6">
        <w:rPr>
          <w:rFonts w:eastAsia="SimSun"/>
          <w:lang w:eastAsia="zh-CN"/>
        </w:rPr>
        <w:t>This document</w:t>
      </w:r>
      <w:r>
        <w:rPr>
          <w:rFonts w:eastAsia="SimSun"/>
          <w:lang w:eastAsia="zh-CN"/>
        </w:rPr>
        <w:t xml:space="preserve"> re-iterates our previous views that significant reduction in specification complexity and RAN4 workload can be achieved for both MSD types without penalizing the conformance test coverage</w:t>
      </w:r>
      <w:r w:rsidR="00207DC0">
        <w:rPr>
          <w:rFonts w:eastAsia="SimSun"/>
          <w:lang w:eastAsia="zh-CN"/>
        </w:rPr>
        <w:t>. H</w:t>
      </w:r>
      <w:r>
        <w:rPr>
          <w:rFonts w:eastAsia="SimSun"/>
          <w:lang w:eastAsia="zh-CN"/>
        </w:rPr>
        <w:t>ence without compromising the verification of the UE minimum requirements and its impact on MSD performance</w:t>
      </w:r>
      <w:r w:rsidR="00207DC0">
        <w:rPr>
          <w:rFonts w:eastAsia="SimSun"/>
          <w:lang w:eastAsia="zh-CN"/>
        </w:rPr>
        <w:t>, o</w:t>
      </w:r>
      <w:r>
        <w:rPr>
          <w:rFonts w:eastAsia="SimSun"/>
          <w:lang w:eastAsia="zh-CN"/>
        </w:rPr>
        <w:t>ur proposal could reduce the number of MSD test points by factor x8.</w:t>
      </w:r>
    </w:p>
    <w:p w14:paraId="0FF638A3" w14:textId="60D86460" w:rsidR="00A16838" w:rsidRPr="00A16838" w:rsidRDefault="00853ECB" w:rsidP="00A16838">
      <w:pPr>
        <w:pStyle w:val="Heading1"/>
        <w:jc w:val="both"/>
        <w:rPr>
          <w:rFonts w:eastAsia="SimSun"/>
          <w:lang w:eastAsia="zh-CN"/>
        </w:rPr>
      </w:pPr>
      <w:r>
        <w:rPr>
          <w:rFonts w:eastAsia="SimSun" w:hint="eastAsia"/>
          <w:lang w:eastAsia="zh-CN"/>
        </w:rPr>
        <w:t>Discussion</w:t>
      </w:r>
    </w:p>
    <w:p w14:paraId="6B986654" w14:textId="35E0BF6E" w:rsidR="005C314F" w:rsidRDefault="005C314F" w:rsidP="005C314F">
      <w:pPr>
        <w:pStyle w:val="Heading2"/>
        <w:tabs>
          <w:tab w:val="clear" w:pos="1427"/>
          <w:tab w:val="num" w:pos="1560"/>
        </w:tabs>
        <w:spacing w:after="240"/>
        <w:ind w:left="567"/>
      </w:pPr>
      <w:r w:rsidRPr="005C314F">
        <w:t>MSD Test Point</w:t>
      </w:r>
      <w:r>
        <w:t>s</w:t>
      </w:r>
      <w:r w:rsidRPr="005C314F">
        <w:t xml:space="preserve"> Complexity</w:t>
      </w:r>
      <w:r w:rsidR="00A16838">
        <w:t xml:space="preserve"> and Reduction Opportunities</w:t>
      </w:r>
    </w:p>
    <w:bookmarkStart w:id="2" w:name="_Ref79059298"/>
    <w:p w14:paraId="1C79B7AB" w14:textId="034C9B90" w:rsidR="00EB1C99" w:rsidRDefault="00A16838" w:rsidP="00EB1C99">
      <w:pPr>
        <w:jc w:val="both"/>
      </w:pPr>
      <w:r>
        <w:fldChar w:fldCharType="begin"/>
      </w:r>
      <w:r>
        <w:instrText xml:space="preserve"> REF _Ref85818567 \h </w:instrText>
      </w:r>
      <w:r w:rsidR="00EB1C99">
        <w:instrText xml:space="preserve"> \* MERGEFORMAT </w:instrText>
      </w:r>
      <w:r>
        <w:fldChar w:fldCharType="separate"/>
      </w:r>
      <w:r>
        <w:t xml:space="preserve">Table </w:t>
      </w:r>
      <w:r>
        <w:rPr>
          <w:noProof/>
        </w:rPr>
        <w:t>1</w:t>
      </w:r>
      <w:r>
        <w:fldChar w:fldCharType="end"/>
      </w:r>
      <w:r>
        <w:t xml:space="preserve"> below is reproduced from [2]. It shows that there a little more than 800 agreed MSD Test points </w:t>
      </w:r>
      <w:r w:rsidR="00EB1C99">
        <w:t xml:space="preserve">related to harmonic interference and cross-band isolation </w:t>
      </w:r>
      <w:r>
        <w:t>in Release 17.2.0</w:t>
      </w:r>
      <w:r w:rsidR="00EB1C99">
        <w:t>. This number is not expected to abate anytime soon since RAN4 reviews hundreds of new text proposals (TP) at every meeting. Our concern is that the BCS4/BCS5 concept may further increase</w:t>
      </w:r>
      <w:r w:rsidR="00207DC0">
        <w:t xml:space="preserve"> the</w:t>
      </w:r>
      <w:r w:rsidR="00EB1C99">
        <w:t xml:space="preserve"> RAN4 workload since additional MSD analyses may be required.</w:t>
      </w:r>
    </w:p>
    <w:p w14:paraId="61452C4D" w14:textId="3CEC7346" w:rsidR="00A16838" w:rsidRDefault="00EB1C99" w:rsidP="00EB1C99">
      <w:pPr>
        <w:jc w:val="both"/>
      </w:pPr>
      <w:r>
        <w:t>Considering these 800 MSD test points</w:t>
      </w:r>
      <w:r w:rsidR="00A16838">
        <w:t xml:space="preserve"> cover only 100 unique aggressor/victim pairs</w:t>
      </w:r>
      <w:r>
        <w:t>, adopting a single test point per aggressor/victim pair could create opportunities to reduce the specification complexity by a factor x8. RAN4 workload of future combinations would also greatly benefit from such agreements. It would considerably simplify the quick completion of TPs for BCS4/BCS5 combinations.</w:t>
      </w:r>
    </w:p>
    <w:p w14:paraId="7E65F72D" w14:textId="5D42A873" w:rsidR="00A16838" w:rsidRDefault="00A16838" w:rsidP="00A16838">
      <w:pPr>
        <w:pStyle w:val="Caption"/>
        <w:jc w:val="center"/>
        <w:rPr>
          <w:b w:val="0"/>
        </w:rPr>
      </w:pPr>
      <w:bookmarkStart w:id="3" w:name="_Ref85818567"/>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
      <w:bookmarkEnd w:id="3"/>
      <w:r>
        <w:t xml:space="preserve">: </w:t>
      </w:r>
      <w:r>
        <w:rPr>
          <w:b w:val="0"/>
        </w:rPr>
        <w:t>Opportunity for reducing the number of MSD test points due to harmonic interference and cross band isolation (analysis based on 38.101-1 Rel-17.2.0)</w:t>
      </w:r>
    </w:p>
    <w:tbl>
      <w:tblPr>
        <w:tblW w:w="0" w:type="auto"/>
        <w:tblInd w:w="-10" w:type="dxa"/>
        <w:tblLook w:val="04A0" w:firstRow="1" w:lastRow="0" w:firstColumn="1" w:lastColumn="0" w:noHBand="0" w:noVBand="1"/>
      </w:tblPr>
      <w:tblGrid>
        <w:gridCol w:w="1416"/>
        <w:gridCol w:w="4021"/>
        <w:gridCol w:w="1180"/>
        <w:gridCol w:w="1316"/>
        <w:gridCol w:w="1157"/>
        <w:gridCol w:w="1367"/>
      </w:tblGrid>
      <w:tr w:rsidR="00A16838" w:rsidRPr="00D4290A" w14:paraId="24455390" w14:textId="77777777" w:rsidTr="00EB1C99">
        <w:trPr>
          <w:trHeight w:val="876"/>
        </w:trPr>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8C885FD" w14:textId="77777777" w:rsidR="00A16838" w:rsidRPr="00D4290A" w:rsidRDefault="00A16838" w:rsidP="000B4118">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Table Number</w:t>
            </w:r>
          </w:p>
        </w:tc>
        <w:tc>
          <w:tcPr>
            <w:tcW w:w="4021" w:type="dxa"/>
            <w:tcBorders>
              <w:top w:val="single" w:sz="8" w:space="0" w:color="auto"/>
              <w:left w:val="nil"/>
              <w:bottom w:val="single" w:sz="8" w:space="0" w:color="auto"/>
              <w:right w:val="single" w:sz="4" w:space="0" w:color="auto"/>
            </w:tcBorders>
            <w:shd w:val="clear" w:color="auto" w:fill="auto"/>
            <w:noWrap/>
            <w:vAlign w:val="center"/>
            <w:hideMark/>
          </w:tcPr>
          <w:p w14:paraId="2FC91281" w14:textId="77777777" w:rsidR="00A16838" w:rsidRPr="00D4290A" w:rsidRDefault="00A16838" w:rsidP="000B4118">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Table Title</w:t>
            </w:r>
          </w:p>
        </w:tc>
        <w:tc>
          <w:tcPr>
            <w:tcW w:w="1180" w:type="dxa"/>
            <w:tcBorders>
              <w:top w:val="single" w:sz="8" w:space="0" w:color="auto"/>
              <w:left w:val="nil"/>
              <w:bottom w:val="single" w:sz="8" w:space="0" w:color="auto"/>
              <w:right w:val="single" w:sz="4" w:space="0" w:color="auto"/>
            </w:tcBorders>
            <w:shd w:val="clear" w:color="auto" w:fill="auto"/>
            <w:vAlign w:val="center"/>
            <w:hideMark/>
          </w:tcPr>
          <w:p w14:paraId="4FD79F4D" w14:textId="77777777" w:rsidR="00A16838" w:rsidRPr="00D4290A" w:rsidRDefault="00A16838" w:rsidP="000B4118">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Number of Specified MSDs Test Points</w:t>
            </w:r>
          </w:p>
        </w:tc>
        <w:tc>
          <w:tcPr>
            <w:tcW w:w="1316" w:type="dxa"/>
            <w:tcBorders>
              <w:top w:val="single" w:sz="8" w:space="0" w:color="auto"/>
              <w:left w:val="nil"/>
              <w:bottom w:val="single" w:sz="8" w:space="0" w:color="auto"/>
              <w:right w:val="single" w:sz="4" w:space="0" w:color="auto"/>
            </w:tcBorders>
            <w:shd w:val="clear" w:color="auto" w:fill="auto"/>
            <w:vAlign w:val="center"/>
            <w:hideMark/>
          </w:tcPr>
          <w:p w14:paraId="1E072EE8" w14:textId="77777777" w:rsidR="00A16838" w:rsidRPr="00D4290A" w:rsidRDefault="00A16838" w:rsidP="000B4118">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Test Point Candidates to Reduction</w:t>
            </w:r>
          </w:p>
        </w:tc>
        <w:tc>
          <w:tcPr>
            <w:tcW w:w="1157" w:type="dxa"/>
            <w:tcBorders>
              <w:top w:val="single" w:sz="8" w:space="0" w:color="auto"/>
              <w:left w:val="nil"/>
              <w:bottom w:val="single" w:sz="8" w:space="0" w:color="auto"/>
              <w:right w:val="single" w:sz="4" w:space="0" w:color="auto"/>
            </w:tcBorders>
            <w:shd w:val="clear" w:color="auto" w:fill="auto"/>
            <w:vAlign w:val="center"/>
            <w:hideMark/>
          </w:tcPr>
          <w:p w14:paraId="149F3D45" w14:textId="77777777" w:rsidR="00A16838" w:rsidRPr="00D4290A" w:rsidRDefault="00A16838" w:rsidP="000B4118">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 xml:space="preserve">Number of unique </w:t>
            </w:r>
            <w:proofErr w:type="spellStart"/>
            <w:r w:rsidRPr="00D4290A">
              <w:rPr>
                <w:rFonts w:ascii="Arial" w:hAnsi="Arial" w:cs="Arial"/>
                <w:b/>
                <w:bCs/>
                <w:color w:val="000000"/>
                <w:sz w:val="18"/>
                <w:szCs w:val="18"/>
              </w:rPr>
              <w:t>Agg</w:t>
            </w:r>
            <w:proofErr w:type="spellEnd"/>
            <w:r w:rsidRPr="00D4290A">
              <w:rPr>
                <w:rFonts w:ascii="Arial" w:hAnsi="Arial" w:cs="Arial"/>
                <w:b/>
                <w:bCs/>
                <w:color w:val="000000"/>
                <w:sz w:val="18"/>
                <w:szCs w:val="18"/>
              </w:rPr>
              <w:t>/Victim pairs</w:t>
            </w:r>
          </w:p>
        </w:tc>
        <w:tc>
          <w:tcPr>
            <w:tcW w:w="1367" w:type="dxa"/>
            <w:tcBorders>
              <w:top w:val="single" w:sz="8" w:space="0" w:color="auto"/>
              <w:left w:val="nil"/>
              <w:bottom w:val="single" w:sz="8" w:space="0" w:color="auto"/>
              <w:right w:val="single" w:sz="8" w:space="0" w:color="auto"/>
            </w:tcBorders>
            <w:shd w:val="clear" w:color="auto" w:fill="auto"/>
            <w:vAlign w:val="center"/>
            <w:hideMark/>
          </w:tcPr>
          <w:p w14:paraId="3BFE4261" w14:textId="77777777" w:rsidR="00A16838" w:rsidRPr="00D4290A" w:rsidRDefault="00A16838" w:rsidP="000B4118">
            <w:pPr>
              <w:overflowPunct/>
              <w:autoSpaceDE/>
              <w:autoSpaceDN/>
              <w:adjustRightInd/>
              <w:spacing w:after="0"/>
              <w:jc w:val="center"/>
              <w:textAlignment w:val="auto"/>
              <w:rPr>
                <w:rFonts w:ascii="Arial" w:hAnsi="Arial" w:cs="Arial"/>
                <w:b/>
                <w:bCs/>
                <w:color w:val="000000"/>
                <w:sz w:val="18"/>
                <w:szCs w:val="18"/>
              </w:rPr>
            </w:pPr>
            <w:r w:rsidRPr="00D4290A">
              <w:rPr>
                <w:rFonts w:ascii="Arial" w:hAnsi="Arial" w:cs="Arial"/>
                <w:b/>
                <w:bCs/>
                <w:color w:val="000000"/>
                <w:sz w:val="18"/>
                <w:szCs w:val="18"/>
              </w:rPr>
              <w:t>Possible MSD Test Points Reduction Factor</w:t>
            </w:r>
          </w:p>
        </w:tc>
      </w:tr>
      <w:tr w:rsidR="00A16838" w:rsidRPr="00D4290A" w14:paraId="3C9332D0" w14:textId="77777777" w:rsidTr="00EB1C99">
        <w:trPr>
          <w:trHeight w:val="288"/>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2A38A5D"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7.3A.4-1</w:t>
            </w:r>
          </w:p>
        </w:tc>
        <w:tc>
          <w:tcPr>
            <w:tcW w:w="4021" w:type="dxa"/>
            <w:tcBorders>
              <w:top w:val="nil"/>
              <w:left w:val="nil"/>
              <w:bottom w:val="single" w:sz="4" w:space="0" w:color="auto"/>
              <w:right w:val="single" w:sz="4" w:space="0" w:color="auto"/>
            </w:tcBorders>
            <w:shd w:val="clear" w:color="auto" w:fill="auto"/>
            <w:noWrap/>
            <w:vAlign w:val="center"/>
            <w:hideMark/>
          </w:tcPr>
          <w:p w14:paraId="26FFDD77" w14:textId="77777777" w:rsidR="00A16838" w:rsidRPr="00D4290A" w:rsidRDefault="00A16838" w:rsidP="000B4118">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due to UL harmonic for NR CA FR1</w:t>
            </w:r>
          </w:p>
        </w:tc>
        <w:tc>
          <w:tcPr>
            <w:tcW w:w="1180" w:type="dxa"/>
            <w:tcBorders>
              <w:top w:val="nil"/>
              <w:left w:val="nil"/>
              <w:bottom w:val="single" w:sz="4" w:space="0" w:color="auto"/>
              <w:right w:val="single" w:sz="4" w:space="0" w:color="auto"/>
            </w:tcBorders>
            <w:shd w:val="clear" w:color="auto" w:fill="auto"/>
            <w:noWrap/>
            <w:vAlign w:val="center"/>
            <w:hideMark/>
          </w:tcPr>
          <w:p w14:paraId="40DFE33D"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365</w:t>
            </w:r>
          </w:p>
        </w:tc>
        <w:tc>
          <w:tcPr>
            <w:tcW w:w="1316" w:type="dxa"/>
            <w:tcBorders>
              <w:top w:val="nil"/>
              <w:left w:val="nil"/>
              <w:bottom w:val="single" w:sz="4" w:space="0" w:color="auto"/>
              <w:right w:val="single" w:sz="4" w:space="0" w:color="auto"/>
            </w:tcBorders>
            <w:shd w:val="clear" w:color="auto" w:fill="auto"/>
            <w:noWrap/>
            <w:vAlign w:val="center"/>
            <w:hideMark/>
          </w:tcPr>
          <w:p w14:paraId="681D8029"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319</w:t>
            </w:r>
          </w:p>
        </w:tc>
        <w:tc>
          <w:tcPr>
            <w:tcW w:w="1157" w:type="dxa"/>
            <w:tcBorders>
              <w:top w:val="nil"/>
              <w:left w:val="nil"/>
              <w:bottom w:val="single" w:sz="4" w:space="0" w:color="auto"/>
              <w:right w:val="single" w:sz="4" w:space="0" w:color="auto"/>
            </w:tcBorders>
            <w:shd w:val="clear" w:color="auto" w:fill="auto"/>
            <w:noWrap/>
            <w:vAlign w:val="center"/>
            <w:hideMark/>
          </w:tcPr>
          <w:p w14:paraId="4ECA9F67"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35</w:t>
            </w:r>
          </w:p>
        </w:tc>
        <w:tc>
          <w:tcPr>
            <w:tcW w:w="1367" w:type="dxa"/>
            <w:tcBorders>
              <w:top w:val="nil"/>
              <w:left w:val="nil"/>
              <w:bottom w:val="single" w:sz="4" w:space="0" w:color="auto"/>
              <w:right w:val="single" w:sz="8" w:space="0" w:color="auto"/>
            </w:tcBorders>
            <w:shd w:val="clear" w:color="auto" w:fill="auto"/>
            <w:noWrap/>
            <w:vAlign w:val="center"/>
            <w:hideMark/>
          </w:tcPr>
          <w:p w14:paraId="4E520B95"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9</w:t>
            </w:r>
          </w:p>
        </w:tc>
      </w:tr>
      <w:tr w:rsidR="00A16838" w:rsidRPr="00D4290A" w14:paraId="564AED1F" w14:textId="77777777" w:rsidTr="00EB1C99">
        <w:trPr>
          <w:trHeight w:val="288"/>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6112DAD"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7.3A.4-4</w:t>
            </w:r>
          </w:p>
        </w:tc>
        <w:tc>
          <w:tcPr>
            <w:tcW w:w="4021" w:type="dxa"/>
            <w:tcBorders>
              <w:top w:val="nil"/>
              <w:left w:val="nil"/>
              <w:bottom w:val="single" w:sz="4" w:space="0" w:color="auto"/>
              <w:right w:val="single" w:sz="4" w:space="0" w:color="auto"/>
            </w:tcBorders>
            <w:shd w:val="clear" w:color="auto" w:fill="auto"/>
            <w:noWrap/>
            <w:vAlign w:val="center"/>
            <w:hideMark/>
          </w:tcPr>
          <w:p w14:paraId="0C123711" w14:textId="77777777" w:rsidR="00A16838" w:rsidRPr="00D4290A" w:rsidRDefault="00A16838" w:rsidP="000B4118">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due to harmonic mixing for PC3 CA in NR FR1</w:t>
            </w:r>
          </w:p>
        </w:tc>
        <w:tc>
          <w:tcPr>
            <w:tcW w:w="1180" w:type="dxa"/>
            <w:tcBorders>
              <w:top w:val="nil"/>
              <w:left w:val="nil"/>
              <w:bottom w:val="single" w:sz="4" w:space="0" w:color="auto"/>
              <w:right w:val="single" w:sz="4" w:space="0" w:color="auto"/>
            </w:tcBorders>
            <w:shd w:val="clear" w:color="auto" w:fill="auto"/>
            <w:noWrap/>
            <w:vAlign w:val="center"/>
            <w:hideMark/>
          </w:tcPr>
          <w:p w14:paraId="31D74C56"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w:t>
            </w:r>
          </w:p>
        </w:tc>
        <w:tc>
          <w:tcPr>
            <w:tcW w:w="1316" w:type="dxa"/>
            <w:tcBorders>
              <w:top w:val="nil"/>
              <w:left w:val="nil"/>
              <w:bottom w:val="single" w:sz="4" w:space="0" w:color="auto"/>
              <w:right w:val="single" w:sz="4" w:space="0" w:color="auto"/>
            </w:tcBorders>
            <w:shd w:val="clear" w:color="auto" w:fill="auto"/>
            <w:noWrap/>
            <w:vAlign w:val="center"/>
            <w:hideMark/>
          </w:tcPr>
          <w:p w14:paraId="2B984BD2"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 </w:t>
            </w:r>
          </w:p>
        </w:tc>
        <w:tc>
          <w:tcPr>
            <w:tcW w:w="1157" w:type="dxa"/>
            <w:tcBorders>
              <w:top w:val="nil"/>
              <w:left w:val="nil"/>
              <w:bottom w:val="single" w:sz="4" w:space="0" w:color="auto"/>
              <w:right w:val="single" w:sz="4" w:space="0" w:color="auto"/>
            </w:tcBorders>
            <w:shd w:val="clear" w:color="auto" w:fill="auto"/>
            <w:noWrap/>
            <w:vAlign w:val="center"/>
            <w:hideMark/>
          </w:tcPr>
          <w:p w14:paraId="0CA18332"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14</w:t>
            </w:r>
          </w:p>
        </w:tc>
        <w:tc>
          <w:tcPr>
            <w:tcW w:w="1367" w:type="dxa"/>
            <w:tcBorders>
              <w:top w:val="nil"/>
              <w:left w:val="nil"/>
              <w:bottom w:val="single" w:sz="4" w:space="0" w:color="auto"/>
              <w:right w:val="single" w:sz="8" w:space="0" w:color="auto"/>
            </w:tcBorders>
            <w:shd w:val="clear" w:color="auto" w:fill="auto"/>
            <w:noWrap/>
            <w:vAlign w:val="center"/>
            <w:hideMark/>
          </w:tcPr>
          <w:p w14:paraId="2B32C8B7"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5</w:t>
            </w:r>
          </w:p>
        </w:tc>
      </w:tr>
      <w:tr w:rsidR="00A16838" w:rsidRPr="00D4290A" w14:paraId="27ABF91B" w14:textId="77777777" w:rsidTr="00EB1C99">
        <w:trPr>
          <w:trHeight w:val="288"/>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3779388"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7.3A.4-4a</w:t>
            </w:r>
          </w:p>
        </w:tc>
        <w:tc>
          <w:tcPr>
            <w:tcW w:w="4021" w:type="dxa"/>
            <w:tcBorders>
              <w:top w:val="nil"/>
              <w:left w:val="nil"/>
              <w:bottom w:val="single" w:sz="4" w:space="0" w:color="auto"/>
              <w:right w:val="single" w:sz="4" w:space="0" w:color="auto"/>
            </w:tcBorders>
            <w:shd w:val="clear" w:color="auto" w:fill="auto"/>
            <w:noWrap/>
            <w:vAlign w:val="center"/>
            <w:hideMark/>
          </w:tcPr>
          <w:p w14:paraId="6D639701" w14:textId="77777777" w:rsidR="00A16838" w:rsidRPr="00D4290A" w:rsidRDefault="00A16838" w:rsidP="000B4118">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due to harmonic mixing for PC2 CA in NR FR1</w:t>
            </w:r>
          </w:p>
        </w:tc>
        <w:tc>
          <w:tcPr>
            <w:tcW w:w="1180" w:type="dxa"/>
            <w:tcBorders>
              <w:top w:val="nil"/>
              <w:left w:val="nil"/>
              <w:bottom w:val="single" w:sz="4" w:space="0" w:color="auto"/>
              <w:right w:val="single" w:sz="4" w:space="0" w:color="auto"/>
            </w:tcBorders>
            <w:shd w:val="clear" w:color="auto" w:fill="auto"/>
            <w:noWrap/>
            <w:vAlign w:val="center"/>
            <w:hideMark/>
          </w:tcPr>
          <w:p w14:paraId="20A4EFF6"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8</w:t>
            </w:r>
          </w:p>
        </w:tc>
        <w:tc>
          <w:tcPr>
            <w:tcW w:w="1316" w:type="dxa"/>
            <w:tcBorders>
              <w:top w:val="nil"/>
              <w:left w:val="nil"/>
              <w:bottom w:val="single" w:sz="4" w:space="0" w:color="auto"/>
              <w:right w:val="single" w:sz="4" w:space="0" w:color="auto"/>
            </w:tcBorders>
            <w:shd w:val="clear" w:color="auto" w:fill="auto"/>
            <w:noWrap/>
            <w:vAlign w:val="center"/>
            <w:hideMark/>
          </w:tcPr>
          <w:p w14:paraId="729667BD"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 </w:t>
            </w:r>
          </w:p>
        </w:tc>
        <w:tc>
          <w:tcPr>
            <w:tcW w:w="1157" w:type="dxa"/>
            <w:tcBorders>
              <w:top w:val="nil"/>
              <w:left w:val="nil"/>
              <w:bottom w:val="single" w:sz="4" w:space="0" w:color="auto"/>
              <w:right w:val="single" w:sz="4" w:space="0" w:color="auto"/>
            </w:tcBorders>
            <w:shd w:val="clear" w:color="auto" w:fill="auto"/>
            <w:noWrap/>
            <w:vAlign w:val="center"/>
            <w:hideMark/>
          </w:tcPr>
          <w:p w14:paraId="0F16A06B"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2</w:t>
            </w:r>
          </w:p>
        </w:tc>
        <w:tc>
          <w:tcPr>
            <w:tcW w:w="1367" w:type="dxa"/>
            <w:tcBorders>
              <w:top w:val="nil"/>
              <w:left w:val="nil"/>
              <w:bottom w:val="single" w:sz="4" w:space="0" w:color="auto"/>
              <w:right w:val="single" w:sz="8" w:space="0" w:color="auto"/>
            </w:tcBorders>
            <w:shd w:val="clear" w:color="auto" w:fill="auto"/>
            <w:noWrap/>
            <w:vAlign w:val="center"/>
            <w:hideMark/>
          </w:tcPr>
          <w:p w14:paraId="7214EBEE"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4</w:t>
            </w:r>
          </w:p>
        </w:tc>
      </w:tr>
      <w:tr w:rsidR="00A16838" w:rsidRPr="00D4290A" w14:paraId="6AA9A6A7" w14:textId="77777777" w:rsidTr="00EB1C99">
        <w:trPr>
          <w:trHeight w:val="576"/>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B804D2A"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7.3A.6-1</w:t>
            </w:r>
          </w:p>
        </w:tc>
        <w:tc>
          <w:tcPr>
            <w:tcW w:w="4021" w:type="dxa"/>
            <w:tcBorders>
              <w:top w:val="nil"/>
              <w:left w:val="nil"/>
              <w:bottom w:val="single" w:sz="4" w:space="0" w:color="auto"/>
              <w:right w:val="single" w:sz="4" w:space="0" w:color="auto"/>
            </w:tcBorders>
            <w:shd w:val="clear" w:color="auto" w:fill="auto"/>
            <w:vAlign w:val="center"/>
            <w:hideMark/>
          </w:tcPr>
          <w:p w14:paraId="541CFB41" w14:textId="77777777" w:rsidR="00A16838" w:rsidRPr="00D4290A" w:rsidRDefault="00A16838" w:rsidP="000B4118">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(MSD) due to cross band isolation for NR CA FR1 for PC3 CA</w:t>
            </w:r>
          </w:p>
        </w:tc>
        <w:tc>
          <w:tcPr>
            <w:tcW w:w="1180" w:type="dxa"/>
            <w:tcBorders>
              <w:top w:val="nil"/>
              <w:left w:val="nil"/>
              <w:bottom w:val="single" w:sz="4" w:space="0" w:color="auto"/>
              <w:right w:val="single" w:sz="4" w:space="0" w:color="auto"/>
            </w:tcBorders>
            <w:shd w:val="clear" w:color="auto" w:fill="auto"/>
            <w:noWrap/>
            <w:vAlign w:val="center"/>
            <w:hideMark/>
          </w:tcPr>
          <w:p w14:paraId="76DFD2E3"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187</w:t>
            </w:r>
          </w:p>
        </w:tc>
        <w:tc>
          <w:tcPr>
            <w:tcW w:w="1316" w:type="dxa"/>
            <w:tcBorders>
              <w:top w:val="nil"/>
              <w:left w:val="nil"/>
              <w:bottom w:val="single" w:sz="4" w:space="0" w:color="auto"/>
              <w:right w:val="single" w:sz="4" w:space="0" w:color="auto"/>
            </w:tcBorders>
            <w:shd w:val="clear" w:color="auto" w:fill="auto"/>
            <w:noWrap/>
            <w:vAlign w:val="center"/>
            <w:hideMark/>
          </w:tcPr>
          <w:p w14:paraId="03AA4C59" w14:textId="77777777" w:rsidR="00A16838" w:rsidRPr="00D4290A" w:rsidRDefault="00A16838" w:rsidP="000B4118">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 </w:t>
            </w:r>
          </w:p>
        </w:tc>
        <w:tc>
          <w:tcPr>
            <w:tcW w:w="1157" w:type="dxa"/>
            <w:tcBorders>
              <w:top w:val="nil"/>
              <w:left w:val="nil"/>
              <w:bottom w:val="single" w:sz="4" w:space="0" w:color="auto"/>
              <w:right w:val="single" w:sz="4" w:space="0" w:color="auto"/>
            </w:tcBorders>
            <w:shd w:val="clear" w:color="auto" w:fill="auto"/>
            <w:noWrap/>
            <w:vAlign w:val="center"/>
            <w:hideMark/>
          </w:tcPr>
          <w:p w14:paraId="373FABCE"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24</w:t>
            </w:r>
          </w:p>
        </w:tc>
        <w:tc>
          <w:tcPr>
            <w:tcW w:w="1367" w:type="dxa"/>
            <w:tcBorders>
              <w:top w:val="nil"/>
              <w:left w:val="nil"/>
              <w:bottom w:val="single" w:sz="4" w:space="0" w:color="auto"/>
              <w:right w:val="single" w:sz="8" w:space="0" w:color="auto"/>
            </w:tcBorders>
            <w:shd w:val="clear" w:color="auto" w:fill="auto"/>
            <w:noWrap/>
            <w:vAlign w:val="center"/>
            <w:hideMark/>
          </w:tcPr>
          <w:p w14:paraId="20AEBD87"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7</w:t>
            </w:r>
          </w:p>
        </w:tc>
      </w:tr>
      <w:tr w:rsidR="00A16838" w:rsidRPr="00D4290A" w14:paraId="4012B930" w14:textId="77777777" w:rsidTr="00EB1C99">
        <w:trPr>
          <w:trHeight w:val="288"/>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096B40DE"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7.3A.6-1a</w:t>
            </w:r>
          </w:p>
        </w:tc>
        <w:tc>
          <w:tcPr>
            <w:tcW w:w="4021" w:type="dxa"/>
            <w:tcBorders>
              <w:top w:val="nil"/>
              <w:left w:val="nil"/>
              <w:bottom w:val="single" w:sz="4" w:space="0" w:color="auto"/>
              <w:right w:val="single" w:sz="4" w:space="0" w:color="auto"/>
            </w:tcBorders>
            <w:shd w:val="clear" w:color="auto" w:fill="auto"/>
            <w:noWrap/>
            <w:vAlign w:val="center"/>
            <w:hideMark/>
          </w:tcPr>
          <w:p w14:paraId="72A44336" w14:textId="77777777" w:rsidR="00A16838" w:rsidRPr="00D4290A" w:rsidRDefault="00A16838" w:rsidP="000B4118">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 xml:space="preserve">Reference sensitivity exceptions (MSD) due to cross band isolation for NR CA FR1 for PC2 CA </w:t>
            </w:r>
          </w:p>
        </w:tc>
        <w:tc>
          <w:tcPr>
            <w:tcW w:w="1180" w:type="dxa"/>
            <w:tcBorders>
              <w:top w:val="nil"/>
              <w:left w:val="nil"/>
              <w:bottom w:val="single" w:sz="4" w:space="0" w:color="auto"/>
              <w:right w:val="single" w:sz="4" w:space="0" w:color="auto"/>
            </w:tcBorders>
            <w:shd w:val="clear" w:color="auto" w:fill="auto"/>
            <w:noWrap/>
            <w:vAlign w:val="center"/>
            <w:hideMark/>
          </w:tcPr>
          <w:p w14:paraId="22B36229"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64</w:t>
            </w:r>
          </w:p>
        </w:tc>
        <w:tc>
          <w:tcPr>
            <w:tcW w:w="1316" w:type="dxa"/>
            <w:tcBorders>
              <w:top w:val="nil"/>
              <w:left w:val="nil"/>
              <w:bottom w:val="single" w:sz="4" w:space="0" w:color="auto"/>
              <w:right w:val="single" w:sz="4" w:space="0" w:color="auto"/>
            </w:tcBorders>
            <w:shd w:val="clear" w:color="auto" w:fill="auto"/>
            <w:noWrap/>
            <w:vAlign w:val="center"/>
            <w:hideMark/>
          </w:tcPr>
          <w:p w14:paraId="56C975F7"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 </w:t>
            </w:r>
          </w:p>
        </w:tc>
        <w:tc>
          <w:tcPr>
            <w:tcW w:w="1157" w:type="dxa"/>
            <w:tcBorders>
              <w:top w:val="nil"/>
              <w:left w:val="nil"/>
              <w:bottom w:val="single" w:sz="4" w:space="0" w:color="auto"/>
              <w:right w:val="single" w:sz="4" w:space="0" w:color="auto"/>
            </w:tcBorders>
            <w:shd w:val="clear" w:color="auto" w:fill="auto"/>
            <w:noWrap/>
            <w:vAlign w:val="center"/>
            <w:hideMark/>
          </w:tcPr>
          <w:p w14:paraId="09BF71FB"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w:t>
            </w:r>
          </w:p>
        </w:tc>
        <w:tc>
          <w:tcPr>
            <w:tcW w:w="1367" w:type="dxa"/>
            <w:tcBorders>
              <w:top w:val="nil"/>
              <w:left w:val="nil"/>
              <w:bottom w:val="single" w:sz="4" w:space="0" w:color="auto"/>
              <w:right w:val="single" w:sz="8" w:space="0" w:color="auto"/>
            </w:tcBorders>
            <w:shd w:val="clear" w:color="auto" w:fill="auto"/>
            <w:noWrap/>
            <w:vAlign w:val="center"/>
            <w:hideMark/>
          </w:tcPr>
          <w:p w14:paraId="10845738"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9</w:t>
            </w:r>
          </w:p>
        </w:tc>
      </w:tr>
      <w:tr w:rsidR="00A16838" w:rsidRPr="00D4290A" w14:paraId="57DC1118" w14:textId="77777777" w:rsidTr="00EB1C99">
        <w:trPr>
          <w:trHeight w:val="288"/>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95748F8"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7.3C.2-2</w:t>
            </w:r>
          </w:p>
        </w:tc>
        <w:tc>
          <w:tcPr>
            <w:tcW w:w="4021" w:type="dxa"/>
            <w:tcBorders>
              <w:top w:val="nil"/>
              <w:left w:val="nil"/>
              <w:bottom w:val="single" w:sz="4" w:space="0" w:color="auto"/>
              <w:right w:val="single" w:sz="4" w:space="0" w:color="auto"/>
            </w:tcBorders>
            <w:shd w:val="clear" w:color="auto" w:fill="auto"/>
            <w:noWrap/>
            <w:vAlign w:val="center"/>
            <w:hideMark/>
          </w:tcPr>
          <w:p w14:paraId="14972677" w14:textId="77777777" w:rsidR="00A16838" w:rsidRPr="00D4290A" w:rsidRDefault="00A16838" w:rsidP="000B4118">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for SUL operation (exceptions due to harmonic issue)</w:t>
            </w:r>
          </w:p>
        </w:tc>
        <w:tc>
          <w:tcPr>
            <w:tcW w:w="1180" w:type="dxa"/>
            <w:tcBorders>
              <w:top w:val="nil"/>
              <w:left w:val="nil"/>
              <w:bottom w:val="single" w:sz="4" w:space="0" w:color="auto"/>
              <w:right w:val="single" w:sz="4" w:space="0" w:color="auto"/>
            </w:tcBorders>
            <w:shd w:val="clear" w:color="auto" w:fill="auto"/>
            <w:noWrap/>
            <w:vAlign w:val="center"/>
            <w:hideMark/>
          </w:tcPr>
          <w:p w14:paraId="05AB6AF1"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119</w:t>
            </w:r>
          </w:p>
        </w:tc>
        <w:tc>
          <w:tcPr>
            <w:tcW w:w="1316" w:type="dxa"/>
            <w:tcBorders>
              <w:top w:val="nil"/>
              <w:left w:val="nil"/>
              <w:bottom w:val="single" w:sz="4" w:space="0" w:color="auto"/>
              <w:right w:val="single" w:sz="4" w:space="0" w:color="auto"/>
            </w:tcBorders>
            <w:shd w:val="clear" w:color="auto" w:fill="auto"/>
            <w:noWrap/>
            <w:vAlign w:val="center"/>
            <w:hideMark/>
          </w:tcPr>
          <w:p w14:paraId="1C324C83"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95</w:t>
            </w:r>
          </w:p>
        </w:tc>
        <w:tc>
          <w:tcPr>
            <w:tcW w:w="1157" w:type="dxa"/>
            <w:tcBorders>
              <w:top w:val="nil"/>
              <w:left w:val="nil"/>
              <w:bottom w:val="single" w:sz="4" w:space="0" w:color="auto"/>
              <w:right w:val="single" w:sz="4" w:space="0" w:color="auto"/>
            </w:tcBorders>
            <w:shd w:val="clear" w:color="auto" w:fill="auto"/>
            <w:noWrap/>
            <w:vAlign w:val="center"/>
            <w:hideMark/>
          </w:tcPr>
          <w:p w14:paraId="50ADF077"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11</w:t>
            </w:r>
          </w:p>
        </w:tc>
        <w:tc>
          <w:tcPr>
            <w:tcW w:w="1367" w:type="dxa"/>
            <w:tcBorders>
              <w:top w:val="nil"/>
              <w:left w:val="nil"/>
              <w:bottom w:val="single" w:sz="4" w:space="0" w:color="auto"/>
              <w:right w:val="single" w:sz="8" w:space="0" w:color="auto"/>
            </w:tcBorders>
            <w:shd w:val="clear" w:color="auto" w:fill="auto"/>
            <w:noWrap/>
            <w:vAlign w:val="center"/>
            <w:hideMark/>
          </w:tcPr>
          <w:p w14:paraId="3BEEEBE2"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8</w:t>
            </w:r>
          </w:p>
        </w:tc>
      </w:tr>
      <w:tr w:rsidR="00A16838" w:rsidRPr="00D4290A" w14:paraId="2CCBBE2D" w14:textId="77777777" w:rsidTr="00EB1C99">
        <w:trPr>
          <w:trHeight w:val="300"/>
        </w:trPr>
        <w:tc>
          <w:tcPr>
            <w:tcW w:w="0" w:type="auto"/>
            <w:tcBorders>
              <w:top w:val="nil"/>
              <w:left w:val="single" w:sz="8" w:space="0" w:color="auto"/>
              <w:bottom w:val="nil"/>
              <w:right w:val="single" w:sz="4" w:space="0" w:color="auto"/>
            </w:tcBorders>
            <w:shd w:val="clear" w:color="auto" w:fill="auto"/>
            <w:noWrap/>
            <w:vAlign w:val="center"/>
            <w:hideMark/>
          </w:tcPr>
          <w:p w14:paraId="3088B750"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7.3C.2-4</w:t>
            </w:r>
          </w:p>
        </w:tc>
        <w:tc>
          <w:tcPr>
            <w:tcW w:w="4021" w:type="dxa"/>
            <w:tcBorders>
              <w:top w:val="nil"/>
              <w:left w:val="nil"/>
              <w:bottom w:val="nil"/>
              <w:right w:val="single" w:sz="4" w:space="0" w:color="auto"/>
            </w:tcBorders>
            <w:shd w:val="clear" w:color="auto" w:fill="auto"/>
            <w:noWrap/>
            <w:vAlign w:val="center"/>
            <w:hideMark/>
          </w:tcPr>
          <w:p w14:paraId="07ED39A1" w14:textId="77777777" w:rsidR="00A16838" w:rsidRPr="00D4290A" w:rsidRDefault="00A16838" w:rsidP="000B4118">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Reference sensitivity exceptions due to cross band isolation</w:t>
            </w:r>
          </w:p>
        </w:tc>
        <w:tc>
          <w:tcPr>
            <w:tcW w:w="1180" w:type="dxa"/>
            <w:tcBorders>
              <w:top w:val="nil"/>
              <w:left w:val="nil"/>
              <w:bottom w:val="nil"/>
              <w:right w:val="single" w:sz="4" w:space="0" w:color="auto"/>
            </w:tcBorders>
            <w:shd w:val="clear" w:color="auto" w:fill="auto"/>
            <w:noWrap/>
            <w:vAlign w:val="center"/>
            <w:hideMark/>
          </w:tcPr>
          <w:p w14:paraId="32C8867E"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30</w:t>
            </w:r>
          </w:p>
        </w:tc>
        <w:tc>
          <w:tcPr>
            <w:tcW w:w="1316" w:type="dxa"/>
            <w:tcBorders>
              <w:top w:val="nil"/>
              <w:left w:val="nil"/>
              <w:bottom w:val="nil"/>
              <w:right w:val="single" w:sz="4" w:space="0" w:color="auto"/>
            </w:tcBorders>
            <w:shd w:val="clear" w:color="auto" w:fill="auto"/>
            <w:noWrap/>
            <w:vAlign w:val="center"/>
            <w:hideMark/>
          </w:tcPr>
          <w:p w14:paraId="51DC61AB" w14:textId="77777777" w:rsidR="00A16838" w:rsidRPr="00D4290A" w:rsidRDefault="00A16838" w:rsidP="000B4118">
            <w:pPr>
              <w:overflowPunct/>
              <w:autoSpaceDE/>
              <w:autoSpaceDN/>
              <w:adjustRightInd/>
              <w:spacing w:after="0"/>
              <w:textAlignment w:val="auto"/>
              <w:rPr>
                <w:rFonts w:ascii="Arial" w:hAnsi="Arial" w:cs="Arial"/>
                <w:color w:val="000000"/>
                <w:sz w:val="18"/>
                <w:szCs w:val="18"/>
              </w:rPr>
            </w:pPr>
            <w:r w:rsidRPr="00D4290A">
              <w:rPr>
                <w:rFonts w:ascii="Arial" w:hAnsi="Arial" w:cs="Arial"/>
                <w:color w:val="000000"/>
                <w:sz w:val="18"/>
                <w:szCs w:val="18"/>
              </w:rPr>
              <w:t> </w:t>
            </w:r>
          </w:p>
        </w:tc>
        <w:tc>
          <w:tcPr>
            <w:tcW w:w="1157" w:type="dxa"/>
            <w:tcBorders>
              <w:top w:val="nil"/>
              <w:left w:val="nil"/>
              <w:bottom w:val="nil"/>
              <w:right w:val="single" w:sz="4" w:space="0" w:color="auto"/>
            </w:tcBorders>
            <w:shd w:val="clear" w:color="auto" w:fill="auto"/>
            <w:noWrap/>
            <w:vAlign w:val="center"/>
            <w:hideMark/>
          </w:tcPr>
          <w:p w14:paraId="0E9BCB6B"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3</w:t>
            </w:r>
          </w:p>
        </w:tc>
        <w:tc>
          <w:tcPr>
            <w:tcW w:w="1367" w:type="dxa"/>
            <w:tcBorders>
              <w:top w:val="nil"/>
              <w:left w:val="nil"/>
              <w:bottom w:val="nil"/>
              <w:right w:val="single" w:sz="8" w:space="0" w:color="auto"/>
            </w:tcBorders>
            <w:shd w:val="clear" w:color="auto" w:fill="auto"/>
            <w:noWrap/>
            <w:vAlign w:val="center"/>
            <w:hideMark/>
          </w:tcPr>
          <w:p w14:paraId="09D789BD" w14:textId="77777777" w:rsidR="00A16838" w:rsidRPr="00D4290A" w:rsidRDefault="00A16838" w:rsidP="000B4118">
            <w:pPr>
              <w:overflowPunct/>
              <w:autoSpaceDE/>
              <w:autoSpaceDN/>
              <w:adjustRightInd/>
              <w:spacing w:after="0"/>
              <w:jc w:val="center"/>
              <w:textAlignment w:val="auto"/>
              <w:rPr>
                <w:rFonts w:ascii="Arial" w:hAnsi="Arial" w:cs="Arial"/>
                <w:color w:val="000000"/>
                <w:sz w:val="18"/>
                <w:szCs w:val="18"/>
              </w:rPr>
            </w:pPr>
            <w:r w:rsidRPr="00D4290A">
              <w:rPr>
                <w:rFonts w:ascii="Arial" w:hAnsi="Arial" w:cs="Arial"/>
                <w:color w:val="000000"/>
                <w:sz w:val="18"/>
                <w:szCs w:val="18"/>
              </w:rPr>
              <w:t>x 10</w:t>
            </w:r>
          </w:p>
        </w:tc>
      </w:tr>
      <w:tr w:rsidR="00A16838" w:rsidRPr="00D4290A" w14:paraId="60EF7404" w14:textId="77777777" w:rsidTr="00EB1C99">
        <w:trPr>
          <w:trHeight w:val="300"/>
        </w:trPr>
        <w:tc>
          <w:tcPr>
            <w:tcW w:w="5437" w:type="dxa"/>
            <w:gridSpan w:val="2"/>
            <w:tcBorders>
              <w:top w:val="single" w:sz="8" w:space="0" w:color="auto"/>
              <w:left w:val="single" w:sz="8" w:space="0" w:color="auto"/>
              <w:bottom w:val="single" w:sz="8" w:space="0" w:color="auto"/>
              <w:right w:val="single" w:sz="4" w:space="0" w:color="000000"/>
            </w:tcBorders>
            <w:shd w:val="clear" w:color="auto" w:fill="auto"/>
            <w:noWrap/>
            <w:vAlign w:val="center"/>
            <w:hideMark/>
          </w:tcPr>
          <w:p w14:paraId="1F4B85C3" w14:textId="77777777" w:rsidR="00A16838" w:rsidRPr="00D4290A" w:rsidRDefault="00A16838" w:rsidP="000B4118">
            <w:pPr>
              <w:overflowPunct/>
              <w:autoSpaceDE/>
              <w:autoSpaceDN/>
              <w:adjustRightInd/>
              <w:spacing w:after="0"/>
              <w:jc w:val="right"/>
              <w:textAlignment w:val="auto"/>
              <w:rPr>
                <w:rFonts w:ascii="Arial" w:hAnsi="Arial" w:cs="Arial"/>
                <w:i/>
                <w:iCs/>
                <w:color w:val="000000"/>
                <w:sz w:val="18"/>
                <w:szCs w:val="18"/>
              </w:rPr>
            </w:pPr>
            <w:r w:rsidRPr="00D4290A">
              <w:rPr>
                <w:rFonts w:ascii="Arial" w:hAnsi="Arial" w:cs="Arial"/>
                <w:i/>
                <w:iCs/>
                <w:color w:val="000000"/>
                <w:sz w:val="18"/>
                <w:szCs w:val="18"/>
              </w:rPr>
              <w:t>Total/Overall Possible Reduction Factor</w:t>
            </w:r>
            <w:r>
              <w:rPr>
                <w:rFonts w:ascii="Arial" w:hAnsi="Arial" w:cs="Arial"/>
                <w:i/>
                <w:iCs/>
                <w:color w:val="000000"/>
                <w:sz w:val="18"/>
                <w:szCs w:val="18"/>
              </w:rPr>
              <w:t xml:space="preserve"> (approx.)</w:t>
            </w:r>
          </w:p>
        </w:tc>
        <w:tc>
          <w:tcPr>
            <w:tcW w:w="1180" w:type="dxa"/>
            <w:tcBorders>
              <w:top w:val="single" w:sz="8" w:space="0" w:color="auto"/>
              <w:left w:val="nil"/>
              <w:bottom w:val="single" w:sz="8" w:space="0" w:color="auto"/>
              <w:right w:val="single" w:sz="4" w:space="0" w:color="auto"/>
            </w:tcBorders>
            <w:shd w:val="clear" w:color="auto" w:fill="auto"/>
            <w:noWrap/>
            <w:vAlign w:val="bottom"/>
            <w:hideMark/>
          </w:tcPr>
          <w:p w14:paraId="2F575345" w14:textId="77777777" w:rsidR="00A16838" w:rsidRPr="00D4290A" w:rsidRDefault="00A16838" w:rsidP="000B4118">
            <w:pPr>
              <w:overflowPunct/>
              <w:autoSpaceDE/>
              <w:autoSpaceDN/>
              <w:adjustRightInd/>
              <w:spacing w:after="0"/>
              <w:jc w:val="center"/>
              <w:textAlignment w:val="auto"/>
              <w:rPr>
                <w:rFonts w:ascii="Arial" w:hAnsi="Arial" w:cs="Arial"/>
                <w:i/>
                <w:iCs/>
                <w:color w:val="000000"/>
                <w:sz w:val="18"/>
                <w:szCs w:val="18"/>
              </w:rPr>
            </w:pPr>
            <w:r w:rsidRPr="00D4290A">
              <w:rPr>
                <w:rFonts w:ascii="Arial" w:hAnsi="Arial" w:cs="Arial"/>
                <w:i/>
                <w:iCs/>
                <w:color w:val="000000"/>
                <w:sz w:val="18"/>
                <w:szCs w:val="18"/>
              </w:rPr>
              <w:t>846</w:t>
            </w:r>
          </w:p>
        </w:tc>
        <w:tc>
          <w:tcPr>
            <w:tcW w:w="1316" w:type="dxa"/>
            <w:tcBorders>
              <w:top w:val="single" w:sz="8" w:space="0" w:color="auto"/>
              <w:left w:val="nil"/>
              <w:bottom w:val="single" w:sz="8" w:space="0" w:color="auto"/>
              <w:right w:val="single" w:sz="4" w:space="0" w:color="auto"/>
            </w:tcBorders>
            <w:shd w:val="clear" w:color="auto" w:fill="auto"/>
            <w:noWrap/>
            <w:vAlign w:val="center"/>
            <w:hideMark/>
          </w:tcPr>
          <w:p w14:paraId="44225835" w14:textId="77777777" w:rsidR="00A16838" w:rsidRPr="00D4290A" w:rsidRDefault="00A16838" w:rsidP="000B4118">
            <w:pPr>
              <w:overflowPunct/>
              <w:autoSpaceDE/>
              <w:autoSpaceDN/>
              <w:adjustRightInd/>
              <w:spacing w:after="0"/>
              <w:jc w:val="center"/>
              <w:textAlignment w:val="auto"/>
              <w:rPr>
                <w:rFonts w:ascii="Arial" w:hAnsi="Arial" w:cs="Arial"/>
                <w:i/>
                <w:iCs/>
                <w:color w:val="000000"/>
                <w:sz w:val="18"/>
                <w:szCs w:val="18"/>
              </w:rPr>
            </w:pPr>
            <w:r w:rsidRPr="00D4290A">
              <w:rPr>
                <w:rFonts w:ascii="Arial" w:hAnsi="Arial" w:cs="Arial"/>
                <w:i/>
                <w:iCs/>
                <w:color w:val="000000"/>
                <w:sz w:val="18"/>
                <w:szCs w:val="18"/>
              </w:rPr>
              <w:t>776</w:t>
            </w:r>
          </w:p>
        </w:tc>
        <w:tc>
          <w:tcPr>
            <w:tcW w:w="1157" w:type="dxa"/>
            <w:tcBorders>
              <w:top w:val="single" w:sz="8" w:space="0" w:color="auto"/>
              <w:left w:val="nil"/>
              <w:bottom w:val="single" w:sz="8" w:space="0" w:color="auto"/>
              <w:right w:val="single" w:sz="4" w:space="0" w:color="auto"/>
            </w:tcBorders>
            <w:shd w:val="clear" w:color="auto" w:fill="auto"/>
            <w:noWrap/>
            <w:vAlign w:val="center"/>
            <w:hideMark/>
          </w:tcPr>
          <w:p w14:paraId="749EB06F" w14:textId="77777777" w:rsidR="00A16838" w:rsidRPr="00D4290A" w:rsidRDefault="00A16838" w:rsidP="000B4118">
            <w:pPr>
              <w:overflowPunct/>
              <w:autoSpaceDE/>
              <w:autoSpaceDN/>
              <w:adjustRightInd/>
              <w:spacing w:after="0"/>
              <w:jc w:val="center"/>
              <w:textAlignment w:val="auto"/>
              <w:rPr>
                <w:rFonts w:ascii="Arial" w:hAnsi="Arial" w:cs="Arial"/>
                <w:i/>
                <w:iCs/>
                <w:color w:val="000000"/>
                <w:sz w:val="18"/>
                <w:szCs w:val="18"/>
              </w:rPr>
            </w:pPr>
            <w:r w:rsidRPr="00D4290A">
              <w:rPr>
                <w:rFonts w:ascii="Arial" w:hAnsi="Arial" w:cs="Arial"/>
                <w:i/>
                <w:iCs/>
                <w:color w:val="000000"/>
                <w:sz w:val="18"/>
                <w:szCs w:val="18"/>
              </w:rPr>
              <w:t>96</w:t>
            </w:r>
          </w:p>
        </w:tc>
        <w:tc>
          <w:tcPr>
            <w:tcW w:w="1367" w:type="dxa"/>
            <w:tcBorders>
              <w:top w:val="single" w:sz="8" w:space="0" w:color="auto"/>
              <w:left w:val="nil"/>
              <w:bottom w:val="single" w:sz="8" w:space="0" w:color="auto"/>
              <w:right w:val="single" w:sz="8" w:space="0" w:color="auto"/>
            </w:tcBorders>
            <w:shd w:val="clear" w:color="000000" w:fill="FFFF00"/>
            <w:noWrap/>
            <w:vAlign w:val="center"/>
            <w:hideMark/>
          </w:tcPr>
          <w:p w14:paraId="06E38199" w14:textId="77777777" w:rsidR="00A16838" w:rsidRPr="00D4290A" w:rsidRDefault="00A16838" w:rsidP="000B4118">
            <w:pPr>
              <w:overflowPunct/>
              <w:autoSpaceDE/>
              <w:autoSpaceDN/>
              <w:adjustRightInd/>
              <w:spacing w:after="0"/>
              <w:jc w:val="center"/>
              <w:textAlignment w:val="auto"/>
              <w:rPr>
                <w:rFonts w:ascii="Arial" w:hAnsi="Arial" w:cs="Arial"/>
                <w:b/>
                <w:bCs/>
                <w:i/>
                <w:iCs/>
                <w:color w:val="000000"/>
                <w:sz w:val="18"/>
                <w:szCs w:val="18"/>
              </w:rPr>
            </w:pPr>
            <w:r w:rsidRPr="00D4290A">
              <w:rPr>
                <w:rFonts w:ascii="Arial" w:hAnsi="Arial" w:cs="Arial"/>
                <w:b/>
                <w:bCs/>
                <w:i/>
                <w:iCs/>
                <w:color w:val="000000"/>
                <w:sz w:val="18"/>
                <w:szCs w:val="18"/>
              </w:rPr>
              <w:t>x 8</w:t>
            </w:r>
          </w:p>
        </w:tc>
      </w:tr>
    </w:tbl>
    <w:p w14:paraId="1B5E7539" w14:textId="77777777" w:rsidR="00EB1C99" w:rsidRDefault="00EB1C99" w:rsidP="00EB1C99">
      <w:pPr>
        <w:rPr>
          <w:rFonts w:eastAsia="SimSun"/>
          <w:b/>
          <w:lang w:val="en-GB" w:eastAsia="zh-CN"/>
        </w:rPr>
      </w:pPr>
    </w:p>
    <w:p w14:paraId="4EB0D2CD" w14:textId="72BFC294" w:rsidR="00EB1C99" w:rsidRDefault="00EB1C99" w:rsidP="00DC7B0A">
      <w:pPr>
        <w:jc w:val="both"/>
        <w:rPr>
          <w:rFonts w:eastAsia="SimSun"/>
          <w:lang w:val="en-GB" w:eastAsia="zh-CN"/>
        </w:rPr>
      </w:pPr>
      <w:r w:rsidRPr="00A077D2">
        <w:rPr>
          <w:rFonts w:eastAsia="SimSun"/>
          <w:b/>
          <w:lang w:val="en-GB" w:eastAsia="zh-CN"/>
        </w:rPr>
        <w:t>Observation 1:</w:t>
      </w:r>
      <w:r>
        <w:rPr>
          <w:rFonts w:eastAsia="SimSun"/>
          <w:b/>
          <w:lang w:val="en-GB" w:eastAsia="zh-CN"/>
        </w:rPr>
        <w:t xml:space="preserve"> </w:t>
      </w:r>
      <w:r w:rsidRPr="00EB1C99">
        <w:rPr>
          <w:rFonts w:eastAsia="SimSun"/>
          <w:lang w:val="en-GB" w:eastAsia="zh-CN"/>
        </w:rPr>
        <w:t xml:space="preserve">There are more than 800 MSD test points specified to cover solely the case of MSD due to Tx harmonic and cross-band isolation. Considering these 800 points are specified to approximately 100 unique pairs of aggressor/victims, there is a huge opportunity to reduce the TS size, complexity and consequently conformance test time. An overall factor x8 reduction </w:t>
      </w:r>
      <w:r>
        <w:rPr>
          <w:rFonts w:eastAsia="SimSun"/>
          <w:lang w:val="en-GB" w:eastAsia="zh-CN"/>
        </w:rPr>
        <w:t>could</w:t>
      </w:r>
      <w:r w:rsidRPr="00EB1C99">
        <w:rPr>
          <w:rFonts w:eastAsia="SimSun"/>
          <w:lang w:val="en-GB" w:eastAsia="zh-CN"/>
        </w:rPr>
        <w:t xml:space="preserve"> be achieved.</w:t>
      </w:r>
    </w:p>
    <w:p w14:paraId="419897A2" w14:textId="77777777" w:rsidR="00DC7B0A" w:rsidRDefault="00DC7B0A" w:rsidP="00DC7B0A">
      <w:pPr>
        <w:jc w:val="both"/>
      </w:pPr>
    </w:p>
    <w:p w14:paraId="0391D7AD" w14:textId="496DB11A" w:rsidR="00EA0123" w:rsidRDefault="00A16838" w:rsidP="00EA0123">
      <w:pPr>
        <w:pStyle w:val="Heading2"/>
        <w:tabs>
          <w:tab w:val="clear" w:pos="1427"/>
        </w:tabs>
        <w:spacing w:after="240"/>
        <w:ind w:left="567"/>
      </w:pPr>
      <w:r>
        <w:t>Reduction of MSD Test Points Due to Harmonic Interference</w:t>
      </w:r>
    </w:p>
    <w:p w14:paraId="103016C7" w14:textId="55502D43" w:rsidR="00EB1C99" w:rsidRDefault="00EB1C99" w:rsidP="000117E4">
      <w:pPr>
        <w:jc w:val="both"/>
        <w:rPr>
          <w:rFonts w:eastAsia="SimSun"/>
          <w:lang w:val="en-GB" w:eastAsia="zh-CN"/>
        </w:rPr>
      </w:pPr>
      <w:r>
        <w:rPr>
          <w:lang w:val="en-GB"/>
        </w:rPr>
        <w:lastRenderedPageBreak/>
        <w:t xml:space="preserve">For a given aggressor harmonic interference, RAN4 currently specifies as many MSD values as there are victim’s </w:t>
      </w:r>
      <w:r w:rsidR="00207DC0">
        <w:rPr>
          <w:lang w:val="en-GB"/>
        </w:rPr>
        <w:t>r</w:t>
      </w:r>
      <w:r>
        <w:rPr>
          <w:lang w:val="en-GB"/>
        </w:rPr>
        <w:t xml:space="preserve">eceiver channel bandwidth. </w:t>
      </w:r>
      <w:r>
        <w:rPr>
          <w:rFonts w:eastAsia="SimSun"/>
          <w:lang w:val="en-GB" w:eastAsia="zh-CN"/>
        </w:rPr>
        <w:t xml:space="preserve">Considering that the goal of MSD </w:t>
      </w:r>
      <w:r w:rsidR="000117E4">
        <w:rPr>
          <w:rFonts w:eastAsia="SimSun"/>
          <w:lang w:val="en-GB" w:eastAsia="zh-CN"/>
        </w:rPr>
        <w:t xml:space="preserve">due to interference </w:t>
      </w:r>
      <w:r>
        <w:rPr>
          <w:rFonts w:eastAsia="SimSun"/>
          <w:lang w:val="en-GB" w:eastAsia="zh-CN"/>
        </w:rPr>
        <w:t>is to verify the</w:t>
      </w:r>
      <w:r w:rsidR="000117E4">
        <w:rPr>
          <w:rFonts w:eastAsia="SimSun"/>
          <w:lang w:val="en-GB" w:eastAsia="zh-CN"/>
        </w:rPr>
        <w:t xml:space="preserve"> impact of the transmitter harmonic PSD onto the </w:t>
      </w:r>
      <w:r w:rsidR="00207DC0">
        <w:rPr>
          <w:rFonts w:eastAsia="SimSun"/>
          <w:lang w:val="en-GB" w:eastAsia="zh-CN"/>
        </w:rPr>
        <w:t>r</w:t>
      </w:r>
      <w:r w:rsidR="000117E4">
        <w:rPr>
          <w:rFonts w:eastAsia="SimSun"/>
          <w:lang w:val="en-GB" w:eastAsia="zh-CN"/>
        </w:rPr>
        <w:t xml:space="preserve">eceiver sensitivity performance, we consider that if the Tx harmonic is perfectly </w:t>
      </w:r>
      <w:proofErr w:type="spellStart"/>
      <w:r w:rsidR="000117E4">
        <w:rPr>
          <w:rFonts w:eastAsia="SimSun"/>
          <w:lang w:val="en-GB" w:eastAsia="zh-CN"/>
        </w:rPr>
        <w:t>centered</w:t>
      </w:r>
      <w:proofErr w:type="spellEnd"/>
      <w:r w:rsidR="000117E4">
        <w:rPr>
          <w:rFonts w:eastAsia="SimSun"/>
          <w:lang w:val="en-GB" w:eastAsia="zh-CN"/>
        </w:rPr>
        <w:t xml:space="preserve"> in the smallest channel bandwidth (CBW) of the victim’s receiver, then, increasing the victim’s CBW does produce any value since the transmitter non-linearity remains constant. This statement is only true if for all NR-CA or EN-DC combination, the aggressor uplink (UL) RB allocation and carrier frequency is specified to ensure the Tx harmonic is entirely integrated by the victim’s smallest CBW. We realize this is not always the case in the latest Release, but we consider that ensuring this condition is met does not represent a huge workload as it could </w:t>
      </w:r>
      <w:r w:rsidR="00E956E1" w:rsidRPr="00E956E1">
        <w:rPr>
          <w:rFonts w:eastAsia="SimSun"/>
          <w:lang w:val="en-GB" w:eastAsia="zh-CN"/>
        </w:rPr>
        <w:t xml:space="preserve">greatly </w:t>
      </w:r>
      <w:r w:rsidR="000117E4">
        <w:rPr>
          <w:rFonts w:eastAsia="SimSun"/>
          <w:lang w:val="en-GB" w:eastAsia="zh-CN"/>
        </w:rPr>
        <w:t>reduce the number of test points.</w:t>
      </w:r>
    </w:p>
    <w:p w14:paraId="2309C10A" w14:textId="7FE55693" w:rsidR="000117E4" w:rsidRDefault="000117E4" w:rsidP="000117E4">
      <w:pPr>
        <w:jc w:val="both"/>
        <w:rPr>
          <w:lang w:val="en-GB"/>
        </w:rPr>
      </w:pPr>
      <w:r>
        <w:rPr>
          <w:lang w:val="en-GB"/>
        </w:rPr>
        <w:t xml:space="preserve">To illustrate this point, we provide in </w:t>
      </w:r>
      <w:r>
        <w:rPr>
          <w:lang w:val="en-GB"/>
        </w:rPr>
        <w:fldChar w:fldCharType="begin"/>
      </w:r>
      <w:r>
        <w:rPr>
          <w:lang w:val="en-GB"/>
        </w:rPr>
        <w:instrText xml:space="preserve"> REF _Ref79061160 \h </w:instrText>
      </w:r>
      <w:r>
        <w:rPr>
          <w:lang w:val="en-GB"/>
        </w:rPr>
      </w:r>
      <w:r>
        <w:rPr>
          <w:lang w:val="en-GB"/>
        </w:rPr>
        <w:fldChar w:fldCharType="separate"/>
      </w:r>
      <w:r>
        <w:t xml:space="preserve">Figure </w:t>
      </w:r>
      <w:r>
        <w:rPr>
          <w:noProof/>
        </w:rPr>
        <w:t>1</w:t>
      </w:r>
      <w:r>
        <w:rPr>
          <w:lang w:val="en-GB"/>
        </w:rPr>
        <w:fldChar w:fldCharType="end"/>
      </w:r>
      <w:r>
        <w:rPr>
          <w:lang w:val="en-GB"/>
        </w:rPr>
        <w:t xml:space="preserve">-left </w:t>
      </w:r>
      <w:r w:rsidR="0065757E">
        <w:rPr>
          <w:lang w:val="en-GB"/>
        </w:rPr>
        <w:t>the concept</w:t>
      </w:r>
      <w:r>
        <w:rPr>
          <w:lang w:val="en-GB"/>
        </w:rPr>
        <w:t xml:space="preserve"> of a transmitter harmonic PSD</w:t>
      </w:r>
      <w:r w:rsidR="0065757E">
        <w:rPr>
          <w:lang w:val="en-GB"/>
        </w:rPr>
        <w:t xml:space="preserve"> integrated by the victim’s smallest CBW</w:t>
      </w:r>
      <w:r w:rsidR="00D66633">
        <w:rPr>
          <w:lang w:val="en-GB"/>
        </w:rPr>
        <w:t xml:space="preserve"> (and </w:t>
      </w:r>
      <w:r>
        <w:rPr>
          <w:lang w:val="en-GB"/>
        </w:rPr>
        <w:t>the concept of increasing Rx CBW overlaid</w:t>
      </w:r>
      <w:r w:rsidR="00D66633">
        <w:rPr>
          <w:lang w:val="en-GB"/>
        </w:rPr>
        <w:t xml:space="preserve"> in blue dashed lines)</w:t>
      </w:r>
      <w:r>
        <w:rPr>
          <w:lang w:val="en-GB"/>
        </w:rPr>
        <w:t xml:space="preserve"> and</w:t>
      </w:r>
      <w:r w:rsidR="00E956E1">
        <w:rPr>
          <w:lang w:val="en-GB"/>
        </w:rPr>
        <w:t>,</w:t>
      </w:r>
      <w:r>
        <w:rPr>
          <w:lang w:val="en-GB"/>
        </w:rPr>
        <w:t xml:space="preserve"> in </w:t>
      </w:r>
      <w:r>
        <w:rPr>
          <w:lang w:val="en-GB"/>
        </w:rPr>
        <w:fldChar w:fldCharType="begin"/>
      </w:r>
      <w:r>
        <w:rPr>
          <w:lang w:val="en-GB"/>
        </w:rPr>
        <w:instrText xml:space="preserve"> REF _Ref79061160 \h </w:instrText>
      </w:r>
      <w:r>
        <w:rPr>
          <w:lang w:val="en-GB"/>
        </w:rPr>
      </w:r>
      <w:r>
        <w:rPr>
          <w:lang w:val="en-GB"/>
        </w:rPr>
        <w:fldChar w:fldCharType="separate"/>
      </w:r>
      <w:r>
        <w:t xml:space="preserve">Figure </w:t>
      </w:r>
      <w:r>
        <w:rPr>
          <w:noProof/>
        </w:rPr>
        <w:t>1</w:t>
      </w:r>
      <w:r>
        <w:rPr>
          <w:lang w:val="en-GB"/>
        </w:rPr>
        <w:fldChar w:fldCharType="end"/>
      </w:r>
      <w:r>
        <w:rPr>
          <w:lang w:val="en-GB"/>
        </w:rPr>
        <w:t>-right</w:t>
      </w:r>
      <w:r w:rsidR="00E956E1">
        <w:rPr>
          <w:lang w:val="en-GB"/>
        </w:rPr>
        <w:t>,</w:t>
      </w:r>
      <w:r>
        <w:rPr>
          <w:lang w:val="en-GB"/>
        </w:rPr>
        <w:t xml:space="preserve"> the monotonic decay resulting from the fact MSD follows the increase in Rx CBW</w:t>
      </w:r>
      <w:r w:rsidR="00D66633">
        <w:rPr>
          <w:lang w:val="en-GB"/>
        </w:rPr>
        <w:t xml:space="preserve"> using the example case of n78 MSD in CA_n3-n78.</w:t>
      </w:r>
    </w:p>
    <w:p w14:paraId="6DFB19F7" w14:textId="5C0CC3ED" w:rsidR="000117E4" w:rsidRDefault="0065757E" w:rsidP="0065757E">
      <w:pPr>
        <w:jc w:val="center"/>
        <w:rPr>
          <w:lang w:val="en-GB"/>
        </w:rPr>
      </w:pPr>
      <w:r w:rsidRPr="0065757E">
        <w:rPr>
          <w:noProof/>
        </w:rPr>
        <w:drawing>
          <wp:inline distT="0" distB="0" distL="0" distR="0" wp14:anchorId="05C40A35" wp14:editId="0F58C867">
            <wp:extent cx="4638040" cy="20040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8040" cy="2004060"/>
                    </a:xfrm>
                    <a:prstGeom prst="rect">
                      <a:avLst/>
                    </a:prstGeom>
                    <a:noFill/>
                    <a:ln>
                      <a:noFill/>
                    </a:ln>
                  </pic:spPr>
                </pic:pic>
              </a:graphicData>
            </a:graphic>
          </wp:inline>
        </w:drawing>
      </w:r>
    </w:p>
    <w:p w14:paraId="7A9C9AFC" w14:textId="77777777" w:rsidR="000117E4" w:rsidRDefault="000117E4" w:rsidP="000117E4">
      <w:pPr>
        <w:pStyle w:val="Caption"/>
        <w:rPr>
          <w:b w:val="0"/>
        </w:rPr>
      </w:pPr>
      <w:bookmarkStart w:id="4" w:name="_Ref7906116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4"/>
      <w:r>
        <w:t xml:space="preserve">: </w:t>
      </w:r>
      <w:r w:rsidRPr="00273569">
        <w:rPr>
          <w:b w:val="0"/>
        </w:rPr>
        <w:t>Example of second harmonic (H2) PSD for DFT-s-OFDM QPSK SCS 15kHz waveform with LCRB = 25 RB.</w:t>
      </w:r>
    </w:p>
    <w:p w14:paraId="0EC631BE" w14:textId="7D6639AA" w:rsidR="00D66633" w:rsidRDefault="00D66633" w:rsidP="000117E4">
      <w:pPr>
        <w:jc w:val="both"/>
        <w:rPr>
          <w:lang w:val="en-GB"/>
        </w:rPr>
      </w:pPr>
      <w:r>
        <w:rPr>
          <w:lang w:val="en-GB"/>
        </w:rPr>
        <w:fldChar w:fldCharType="begin"/>
      </w:r>
      <w:r>
        <w:rPr>
          <w:lang w:val="en-GB"/>
        </w:rPr>
        <w:instrText xml:space="preserve"> REF _Ref79061160 \h </w:instrText>
      </w:r>
      <w:r>
        <w:rPr>
          <w:lang w:val="en-GB"/>
        </w:rPr>
      </w:r>
      <w:r>
        <w:rPr>
          <w:lang w:val="en-GB"/>
        </w:rPr>
        <w:fldChar w:fldCharType="separate"/>
      </w:r>
      <w:r>
        <w:t xml:space="preserve">Figure </w:t>
      </w:r>
      <w:r>
        <w:rPr>
          <w:noProof/>
        </w:rPr>
        <w:t>1</w:t>
      </w:r>
      <w:r>
        <w:rPr>
          <w:lang w:val="en-GB"/>
        </w:rPr>
        <w:fldChar w:fldCharType="end"/>
      </w:r>
      <w:r>
        <w:rPr>
          <w:lang w:val="en-GB"/>
        </w:rPr>
        <w:t xml:space="preserve">-right shows that equation-based representation can provide an accurate estimation of the MSD decay. This concept is </w:t>
      </w:r>
      <w:proofErr w:type="gramStart"/>
      <w:r>
        <w:rPr>
          <w:lang w:val="en-GB"/>
        </w:rPr>
        <w:t>similar to</w:t>
      </w:r>
      <w:proofErr w:type="gramEnd"/>
      <w:r>
        <w:rPr>
          <w:lang w:val="en-GB"/>
        </w:rPr>
        <w:t xml:space="preserve"> the agreed equation-based representation for the REFSENS specifications of FR1 TDD bands in Release 17.3.0. </w:t>
      </w:r>
    </w:p>
    <w:p w14:paraId="0E9A89DE" w14:textId="1C37538B" w:rsidR="00D66633" w:rsidRDefault="00D66633" w:rsidP="000117E4">
      <w:pPr>
        <w:jc w:val="both"/>
      </w:pPr>
      <w:r w:rsidRPr="00450EE4">
        <w:rPr>
          <w:b/>
        </w:rPr>
        <w:t xml:space="preserve">Observation </w:t>
      </w:r>
      <w:r>
        <w:rPr>
          <w:b/>
        </w:rPr>
        <w:t>1</w:t>
      </w:r>
      <w:r>
        <w:t xml:space="preserve">: It is </w:t>
      </w:r>
      <w:proofErr w:type="gramStart"/>
      <w:r>
        <w:t>sufficient</w:t>
      </w:r>
      <w:proofErr w:type="gramEnd"/>
      <w:r>
        <w:t xml:space="preserve"> to capture a single MSD test point due to harmonic interference: this corresponds to the victim’s smallest Rx CBW when the aggressor Tx harmonic is entirely integrated by the victim’s Rx. The removed MSD test points can be accurately captured using equation-based representation.</w:t>
      </w:r>
    </w:p>
    <w:p w14:paraId="17361810" w14:textId="0727632C" w:rsidR="00C13301" w:rsidRPr="00C13301" w:rsidRDefault="00C13301" w:rsidP="00C13301">
      <w:pPr>
        <w:jc w:val="both"/>
        <w:rPr>
          <w:lang w:val="en-GB"/>
        </w:rPr>
      </w:pPr>
      <w:r w:rsidRPr="00C13301">
        <w:rPr>
          <w:lang w:val="en-GB"/>
        </w:rPr>
        <w:t>Based on observation 1, we propose to adopt option 1 of WF [1].</w:t>
      </w:r>
    </w:p>
    <w:p w14:paraId="2191751F" w14:textId="55F6AF46" w:rsidR="00D66633" w:rsidRDefault="00D66633" w:rsidP="000117E4">
      <w:pPr>
        <w:jc w:val="both"/>
        <w:rPr>
          <w:b/>
          <w:lang w:val="en-GB"/>
        </w:rPr>
      </w:pPr>
      <w:r w:rsidRPr="00D66633">
        <w:rPr>
          <w:b/>
          <w:lang w:val="en-GB"/>
        </w:rPr>
        <w:t xml:space="preserve">Proposal 1: </w:t>
      </w:r>
    </w:p>
    <w:p w14:paraId="38631356" w14:textId="081C5F3D" w:rsidR="00C13301" w:rsidRDefault="00D66633" w:rsidP="000675F0">
      <w:pPr>
        <w:pStyle w:val="ListParagraph"/>
        <w:numPr>
          <w:ilvl w:val="0"/>
          <w:numId w:val="16"/>
        </w:numPr>
        <w:jc w:val="both"/>
        <w:rPr>
          <w:lang w:val="en-GB"/>
        </w:rPr>
      </w:pPr>
      <w:r w:rsidRPr="00C13301">
        <w:rPr>
          <w:lang w:val="en-GB"/>
        </w:rPr>
        <w:t>Adopt only one MSD test point per aggressor/victim pair of bands and per hit condition (complete harmonic overlap/near miss overlap). This MSD test point is that which leads to the worst-case/highest victim’s MSD level. This corresponds to the lowest victim’s CBW</w:t>
      </w:r>
      <w:r w:rsidR="00E956E1">
        <w:rPr>
          <w:lang w:val="en-GB"/>
        </w:rPr>
        <w:t>.</w:t>
      </w:r>
    </w:p>
    <w:p w14:paraId="17A54962" w14:textId="77777777" w:rsidR="00C13301" w:rsidRPr="00C13301" w:rsidRDefault="00D66633" w:rsidP="000675F0">
      <w:pPr>
        <w:pStyle w:val="ListParagraph"/>
        <w:numPr>
          <w:ilvl w:val="0"/>
          <w:numId w:val="16"/>
        </w:numPr>
        <w:jc w:val="both"/>
        <w:rPr>
          <w:lang w:val="en-GB"/>
        </w:rPr>
      </w:pPr>
      <w:r w:rsidRPr="00C13301">
        <w:rPr>
          <w:lang w:val="en-GB"/>
        </w:rPr>
        <w:t>Specify the UL/DL test carrier frequencies and test channel bandwidth.</w:t>
      </w:r>
    </w:p>
    <w:p w14:paraId="2FDEA514" w14:textId="437E4A14" w:rsidR="00C13301" w:rsidRPr="00C13301" w:rsidRDefault="00D66633" w:rsidP="000675F0">
      <w:pPr>
        <w:pStyle w:val="ListParagraph"/>
        <w:numPr>
          <w:ilvl w:val="0"/>
          <w:numId w:val="16"/>
        </w:numPr>
        <w:jc w:val="both"/>
        <w:rPr>
          <w:lang w:val="en-GB"/>
        </w:rPr>
      </w:pPr>
      <w:r w:rsidRPr="00C13301">
        <w:rPr>
          <w:lang w:val="en-GB"/>
        </w:rPr>
        <w:t>Specify the aggressor UL RB Allocation (</w:t>
      </w:r>
      <w:proofErr w:type="spellStart"/>
      <w:r w:rsidRPr="00C13301">
        <w:rPr>
          <w:lang w:val="en-GB"/>
        </w:rPr>
        <w:t>Lcrb</w:t>
      </w:r>
      <w:proofErr w:type="spellEnd"/>
      <w:r w:rsidRPr="00C13301">
        <w:rPr>
          <w:lang w:val="en-GB"/>
        </w:rPr>
        <w:t xml:space="preserve"> + </w:t>
      </w:r>
      <w:proofErr w:type="spellStart"/>
      <w:r w:rsidRPr="00C13301">
        <w:rPr>
          <w:lang w:val="en-GB"/>
        </w:rPr>
        <w:t>RBstart</w:t>
      </w:r>
      <w:proofErr w:type="spellEnd"/>
      <w:r w:rsidRPr="00C13301">
        <w:rPr>
          <w:lang w:val="en-GB"/>
        </w:rPr>
        <w:t>) which must guarantee that the UL harmonic PSD is entirely integrated by the victim’s Rx CBW.</w:t>
      </w:r>
    </w:p>
    <w:p w14:paraId="25C55B00" w14:textId="30D2A5FC" w:rsidR="00D66633" w:rsidRDefault="00D66633" w:rsidP="000675F0">
      <w:pPr>
        <w:pStyle w:val="ListParagraph"/>
        <w:numPr>
          <w:ilvl w:val="0"/>
          <w:numId w:val="16"/>
        </w:numPr>
        <w:jc w:val="both"/>
        <w:rPr>
          <w:lang w:val="en-GB"/>
        </w:rPr>
      </w:pPr>
      <w:r w:rsidRPr="00C13301">
        <w:rPr>
          <w:lang w:val="en-GB"/>
        </w:rPr>
        <w:t>Specify the harmonic order.</w:t>
      </w:r>
    </w:p>
    <w:p w14:paraId="1C366F5E" w14:textId="5B5547E8" w:rsidR="00C13301" w:rsidRPr="00C13301" w:rsidRDefault="00C13301" w:rsidP="000675F0">
      <w:pPr>
        <w:pStyle w:val="ListParagraph"/>
        <w:numPr>
          <w:ilvl w:val="0"/>
          <w:numId w:val="16"/>
        </w:numPr>
        <w:jc w:val="both"/>
        <w:rPr>
          <w:lang w:val="en-GB"/>
        </w:rPr>
      </w:pPr>
      <w:r>
        <w:rPr>
          <w:lang w:val="en-GB"/>
        </w:rPr>
        <w:t>Specify equation-based representation to ensure the removed MSD test points can be calculated.</w:t>
      </w:r>
    </w:p>
    <w:p w14:paraId="43DACDFF" w14:textId="2149A58B" w:rsidR="00A16838" w:rsidRDefault="00A16838" w:rsidP="00A16838">
      <w:pPr>
        <w:pStyle w:val="Heading2"/>
        <w:tabs>
          <w:tab w:val="clear" w:pos="1427"/>
        </w:tabs>
        <w:spacing w:after="240"/>
        <w:ind w:left="567"/>
      </w:pPr>
      <w:r>
        <w:t>Reduction of MSD Test Points Due to Cross-Band Isolation</w:t>
      </w:r>
    </w:p>
    <w:p w14:paraId="7A91B9BF" w14:textId="38C7A405" w:rsidR="00C13301" w:rsidRDefault="00C13301" w:rsidP="00C13301">
      <w:pPr>
        <w:jc w:val="both"/>
      </w:pPr>
      <w:r>
        <w:t xml:space="preserve">The status for MSD due to cross-band isolation is </w:t>
      </w:r>
      <w:proofErr w:type="gramStart"/>
      <w:r>
        <w:t>similar to</w:t>
      </w:r>
      <w:proofErr w:type="gramEnd"/>
      <w:r>
        <w:t xml:space="preserve"> that of MSD due to harmonic interference: only one MSD test point is needed per pair of aggressor/victim’s band. This is the test point which leads to the worst/highest victim’s band MSD. Based on our previous proposals [3,4] and to maximize the MSD, we propose to adopt the maximum UL CBW and to adopt full UL RB allocation for the aggressor and the minimum Rx CBW for the victim as shown in </w:t>
      </w:r>
      <w:r>
        <w:fldChar w:fldCharType="begin"/>
      </w:r>
      <w:r>
        <w:instrText xml:space="preserve"> REF _Ref79067861 \h </w:instrText>
      </w:r>
      <w:r>
        <w:fldChar w:fldCharType="separate"/>
      </w:r>
      <w:r>
        <w:t xml:space="preserve">Figure </w:t>
      </w:r>
      <w:r>
        <w:rPr>
          <w:noProof/>
        </w:rPr>
        <w:t>2</w:t>
      </w:r>
      <w:r>
        <w:fldChar w:fldCharType="end"/>
      </w:r>
      <w:r>
        <w:t>. Considering the huge reduction in MSD test points this proposal may offer, we do not see the need to remove the MSD tables due to C-IM interference.</w:t>
      </w:r>
    </w:p>
    <w:p w14:paraId="438FD976" w14:textId="77777777" w:rsidR="00C13301" w:rsidRDefault="00C13301" w:rsidP="00C13301">
      <w:pPr>
        <w:jc w:val="center"/>
      </w:pPr>
      <w:r w:rsidRPr="008B6828">
        <w:rPr>
          <w:noProof/>
        </w:rPr>
        <w:lastRenderedPageBreak/>
        <w:drawing>
          <wp:inline distT="0" distB="0" distL="0" distR="0" wp14:anchorId="3B4B32F4" wp14:editId="4EEE8AD0">
            <wp:extent cx="5179289" cy="21138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0705" cy="2118474"/>
                    </a:xfrm>
                    <a:prstGeom prst="rect">
                      <a:avLst/>
                    </a:prstGeom>
                    <a:noFill/>
                    <a:ln>
                      <a:noFill/>
                    </a:ln>
                  </pic:spPr>
                </pic:pic>
              </a:graphicData>
            </a:graphic>
          </wp:inline>
        </w:drawing>
      </w:r>
    </w:p>
    <w:p w14:paraId="00964E20" w14:textId="77777777" w:rsidR="00C13301" w:rsidRPr="008B6828" w:rsidRDefault="00C13301" w:rsidP="00C13301">
      <w:pPr>
        <w:pStyle w:val="Caption"/>
        <w:rPr>
          <w:b w:val="0"/>
        </w:rPr>
      </w:pPr>
      <w:bookmarkStart w:id="5" w:name="_Ref79067861"/>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5"/>
      <w:r>
        <w:t xml:space="preserve">: </w:t>
      </w:r>
      <w:r w:rsidRPr="008B6828">
        <w:rPr>
          <w:b w:val="0"/>
        </w:rPr>
        <w:t>Worst case MSD test point concept for Cross-band isolation MSD: Maximum UL CBW and full UL RB allocation for the aggressor band, minimum Rx CBW for the victim</w:t>
      </w:r>
      <w:r>
        <w:rPr>
          <w:b w:val="0"/>
        </w:rPr>
        <w:t>. Example sketch of CA_n1-n3.</w:t>
      </w:r>
      <w:r w:rsidRPr="008B6828">
        <w:rPr>
          <w:b w:val="0"/>
        </w:rPr>
        <w:t xml:space="preserve"> </w:t>
      </w:r>
    </w:p>
    <w:p w14:paraId="213FD554" w14:textId="700487AD" w:rsidR="00C13301" w:rsidRDefault="00C13301" w:rsidP="00C13301">
      <w:pPr>
        <w:jc w:val="both"/>
      </w:pPr>
      <w:r>
        <w:t xml:space="preserve">By adopting fully allocated UL waveforms, RAN4 no longer needs to custom analyze the IMD landscape that was previously needed due to small RB allocations. In addition, the worst-case MSDs are systematically captured. The example case of n3 MSD measurements [3] in CA_n1-n3 due to n1 Tx noise illustrate the key differences in MSD between the current MSD test points shown in </w:t>
      </w:r>
      <w:r>
        <w:fldChar w:fldCharType="begin"/>
      </w:r>
      <w:r>
        <w:instrText xml:space="preserve"> REF _Ref79068556 \h </w:instrText>
      </w:r>
      <w:r>
        <w:fldChar w:fldCharType="separate"/>
      </w:r>
      <w:r>
        <w:t xml:space="preserve">Figure </w:t>
      </w:r>
      <w:r>
        <w:rPr>
          <w:noProof/>
        </w:rPr>
        <w:t>3</w:t>
      </w:r>
      <w:r>
        <w:fldChar w:fldCharType="end"/>
      </w:r>
      <w:r>
        <w:t xml:space="preserve">-left (UL aggressor =20MHz </w:t>
      </w:r>
      <w:proofErr w:type="spellStart"/>
      <w:r>
        <w:t>Lcrb</w:t>
      </w:r>
      <w:proofErr w:type="spellEnd"/>
      <w:r>
        <w:t xml:space="preserve">=25) and the proposed single test point concept shown in </w:t>
      </w:r>
      <w:r>
        <w:fldChar w:fldCharType="begin"/>
      </w:r>
      <w:r>
        <w:instrText xml:space="preserve"> REF _Ref79068556 \h </w:instrText>
      </w:r>
      <w:r>
        <w:fldChar w:fldCharType="separate"/>
      </w:r>
      <w:r>
        <w:t xml:space="preserve">Figure </w:t>
      </w:r>
      <w:r>
        <w:rPr>
          <w:noProof/>
        </w:rPr>
        <w:t>3</w:t>
      </w:r>
      <w:r>
        <w:fldChar w:fldCharType="end"/>
      </w:r>
      <w:r>
        <w:t xml:space="preserve">-right. In </w:t>
      </w:r>
      <w:r>
        <w:fldChar w:fldCharType="begin"/>
      </w:r>
      <w:r>
        <w:instrText xml:space="preserve"> REF _Ref79068556 \h </w:instrText>
      </w:r>
      <w:r>
        <w:fldChar w:fldCharType="separate"/>
      </w:r>
      <w:r>
        <w:t xml:space="preserve">Figure </w:t>
      </w:r>
      <w:r>
        <w:rPr>
          <w:noProof/>
        </w:rPr>
        <w:t>3</w:t>
      </w:r>
      <w:r>
        <w:fldChar w:fldCharType="end"/>
      </w:r>
      <w:r>
        <w:t xml:space="preserve">-right only 1 test point is specified: that which corresponds to the worst-case n3 MSD of 22.5dB (5MHz Rx CBW / n1 aggressor UL CBW is 50MHz). In </w:t>
      </w:r>
      <w:r>
        <w:fldChar w:fldCharType="begin"/>
      </w:r>
      <w:r>
        <w:instrText xml:space="preserve"> REF _Ref79068556 \h </w:instrText>
      </w:r>
      <w:r>
        <w:fldChar w:fldCharType="separate"/>
      </w:r>
      <w:r>
        <w:t xml:space="preserve">Figure </w:t>
      </w:r>
      <w:r>
        <w:rPr>
          <w:noProof/>
        </w:rPr>
        <w:t>3</w:t>
      </w:r>
      <w:r>
        <w:fldChar w:fldCharType="end"/>
      </w:r>
      <w:r>
        <w:t xml:space="preserve"> each color bar represents the measured MSD for each of the n3 Rx CBW (5,10…30MHz).</w:t>
      </w:r>
    </w:p>
    <w:p w14:paraId="28E7B7BB" w14:textId="77777777" w:rsidR="00C13301" w:rsidRDefault="00C13301" w:rsidP="00C13301">
      <w:pPr>
        <w:jc w:val="both"/>
      </w:pPr>
      <w:r w:rsidRPr="009E6834">
        <w:rPr>
          <w:noProof/>
        </w:rPr>
        <w:drawing>
          <wp:inline distT="0" distB="0" distL="0" distR="0" wp14:anchorId="3050350A" wp14:editId="100F948E">
            <wp:extent cx="6646545" cy="2221312"/>
            <wp:effectExtent l="0" t="0" r="190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2221312"/>
                    </a:xfrm>
                    <a:prstGeom prst="rect">
                      <a:avLst/>
                    </a:prstGeom>
                    <a:noFill/>
                    <a:ln>
                      <a:noFill/>
                    </a:ln>
                  </pic:spPr>
                </pic:pic>
              </a:graphicData>
            </a:graphic>
          </wp:inline>
        </w:drawing>
      </w:r>
    </w:p>
    <w:p w14:paraId="5C805976" w14:textId="77777777" w:rsidR="00C13301" w:rsidRPr="008B6828" w:rsidRDefault="00C13301" w:rsidP="00C13301">
      <w:pPr>
        <w:jc w:val="center"/>
        <w:rPr>
          <w:b/>
        </w:rPr>
      </w:pPr>
      <w:bookmarkStart w:id="6" w:name="_Ref79068556"/>
      <w:r w:rsidRPr="009E6834">
        <w:rPr>
          <w:b/>
        </w:rPr>
        <w:t xml:space="preserve">Figure </w:t>
      </w:r>
      <w:r w:rsidRPr="009E6834">
        <w:rPr>
          <w:b/>
        </w:rPr>
        <w:fldChar w:fldCharType="begin"/>
      </w:r>
      <w:r w:rsidRPr="009E6834">
        <w:rPr>
          <w:b/>
        </w:rPr>
        <w:instrText xml:space="preserve"> SEQ Figure \* ARABIC </w:instrText>
      </w:r>
      <w:r w:rsidRPr="009E6834">
        <w:rPr>
          <w:b/>
        </w:rPr>
        <w:fldChar w:fldCharType="separate"/>
      </w:r>
      <w:r w:rsidRPr="009E6834">
        <w:rPr>
          <w:b/>
          <w:noProof/>
        </w:rPr>
        <w:t>3</w:t>
      </w:r>
      <w:r w:rsidRPr="009E6834">
        <w:rPr>
          <w:b/>
        </w:rPr>
        <w:fldChar w:fldCharType="end"/>
      </w:r>
      <w:bookmarkEnd w:id="6"/>
      <w:r w:rsidRPr="009E6834">
        <w:rPr>
          <w:b/>
        </w:rPr>
        <w:t>:</w:t>
      </w:r>
      <w:r>
        <w:t xml:space="preserve"> Left: the current n3 MSD test point due to cross-band isolation. Right: single n3</w:t>
      </w:r>
      <w:r w:rsidRPr="009E6834">
        <w:t xml:space="preserve"> Cross-band isolation MSD test point</w:t>
      </w:r>
    </w:p>
    <w:p w14:paraId="06E45348" w14:textId="7430E0FB" w:rsidR="00C13301" w:rsidRPr="00C13301" w:rsidRDefault="00C13301" w:rsidP="00C13301">
      <w:pPr>
        <w:rPr>
          <w:lang w:eastAsia="zh-CN"/>
        </w:rPr>
      </w:pPr>
      <w:r w:rsidRPr="00C13301">
        <w:rPr>
          <w:lang w:eastAsia="zh-CN"/>
        </w:rPr>
        <w:t>We therefore propose to adopt option 1 of clause 3 from [1].</w:t>
      </w:r>
    </w:p>
    <w:p w14:paraId="4789C349" w14:textId="005BA16A" w:rsidR="00C13301" w:rsidRPr="00C13301" w:rsidRDefault="00C13301" w:rsidP="00C13301">
      <w:pPr>
        <w:rPr>
          <w:szCs w:val="22"/>
        </w:rPr>
      </w:pPr>
      <w:r w:rsidRPr="0057770C">
        <w:rPr>
          <w:b/>
          <w:lang w:eastAsia="zh-CN"/>
        </w:rPr>
        <w:t xml:space="preserve">Proposal </w:t>
      </w:r>
      <w:bookmarkStart w:id="7" w:name="_Ref79066447"/>
      <w:r>
        <w:rPr>
          <w:b/>
          <w:lang w:eastAsia="zh-CN"/>
        </w:rPr>
        <w:t xml:space="preserve">2: </w:t>
      </w:r>
      <w:r w:rsidRPr="00C13301">
        <w:rPr>
          <w:szCs w:val="22"/>
        </w:rPr>
        <w:t>To greatly simplify and eliminate the following MSD tables:</w:t>
      </w:r>
    </w:p>
    <w:p w14:paraId="0B15A5DC" w14:textId="77777777" w:rsidR="00C13301" w:rsidRPr="00C13301" w:rsidRDefault="00C13301" w:rsidP="000675F0">
      <w:pPr>
        <w:pStyle w:val="ListParagraph"/>
        <w:numPr>
          <w:ilvl w:val="0"/>
          <w:numId w:val="17"/>
        </w:numPr>
        <w:rPr>
          <w:lang w:eastAsia="zh-CN"/>
        </w:rPr>
      </w:pPr>
      <w:r w:rsidRPr="00C13301">
        <w:rPr>
          <w:lang w:eastAsia="zh-CN"/>
        </w:rPr>
        <w:t>Table 7.3A.6-1 (PC3 table),</w:t>
      </w:r>
      <w:r w:rsidRPr="00C13301">
        <w:t xml:space="preserve"> </w:t>
      </w:r>
      <w:r w:rsidRPr="00C13301">
        <w:rPr>
          <w:lang w:eastAsia="zh-CN"/>
        </w:rPr>
        <w:t>Table 7.3A.6-1a (PC2 table) and to eliminate Table 7.3A.6.2 (NR-CA Cross-band isolation MSD tables); and</w:t>
      </w:r>
    </w:p>
    <w:p w14:paraId="58889055" w14:textId="77777777" w:rsidR="00C13301" w:rsidRPr="00C13301" w:rsidRDefault="00C13301" w:rsidP="000675F0">
      <w:pPr>
        <w:pStyle w:val="ListParagraph"/>
        <w:numPr>
          <w:ilvl w:val="0"/>
          <w:numId w:val="17"/>
        </w:numPr>
        <w:rPr>
          <w:lang w:eastAsia="zh-CN"/>
        </w:rPr>
      </w:pPr>
      <w:r w:rsidRPr="00C13301">
        <w:rPr>
          <w:lang w:eastAsia="zh-CN"/>
        </w:rPr>
        <w:t>Table 7.3C.2-4 and to eliminate Table 7.3C.2-5 (SUL Cross-band MSD tables).</w:t>
      </w:r>
    </w:p>
    <w:p w14:paraId="0A15FB8D" w14:textId="77777777" w:rsidR="00C13301" w:rsidRPr="00C13301" w:rsidRDefault="00C13301" w:rsidP="00C13301">
      <w:pPr>
        <w:rPr>
          <w:szCs w:val="22"/>
        </w:rPr>
      </w:pPr>
      <w:r w:rsidRPr="00C13301">
        <w:rPr>
          <w:szCs w:val="22"/>
        </w:rPr>
        <w:t>Adopt the concept of Table 3 where:</w:t>
      </w:r>
    </w:p>
    <w:p w14:paraId="08600E91" w14:textId="77777777" w:rsidR="00C13301" w:rsidRPr="00C13301" w:rsidRDefault="00C13301" w:rsidP="000675F0">
      <w:pPr>
        <w:pStyle w:val="ListParagraph"/>
        <w:numPr>
          <w:ilvl w:val="0"/>
          <w:numId w:val="18"/>
        </w:numPr>
        <w:rPr>
          <w:lang w:eastAsia="zh-CN"/>
        </w:rPr>
      </w:pPr>
      <w:r w:rsidRPr="00C13301">
        <w:rPr>
          <w:szCs w:val="22"/>
        </w:rPr>
        <w:t>Only one MSD test point is specified per aggressor/victim pair of bands. This MSD test point is that which leads to the worst-case/highest victim’s MSD level. This corresponds to the lowest victim’s CBW.</w:t>
      </w:r>
    </w:p>
    <w:p w14:paraId="681B88F2" w14:textId="77777777" w:rsidR="00C13301" w:rsidRPr="00C13301" w:rsidRDefault="00C13301" w:rsidP="000675F0">
      <w:pPr>
        <w:pStyle w:val="ListParagraph"/>
        <w:numPr>
          <w:ilvl w:val="0"/>
          <w:numId w:val="18"/>
        </w:numPr>
        <w:rPr>
          <w:lang w:eastAsia="zh-CN"/>
        </w:rPr>
      </w:pPr>
      <w:r w:rsidRPr="00C13301">
        <w:rPr>
          <w:szCs w:val="22"/>
        </w:rPr>
        <w:t>Specify the UL/DL test carrier frequencies and test channel bandwidth.</w:t>
      </w:r>
    </w:p>
    <w:p w14:paraId="03619591" w14:textId="77777777" w:rsidR="00C13301" w:rsidRPr="00C13301" w:rsidRDefault="00C13301" w:rsidP="000675F0">
      <w:pPr>
        <w:pStyle w:val="ListParagraph"/>
        <w:numPr>
          <w:ilvl w:val="0"/>
          <w:numId w:val="18"/>
        </w:numPr>
        <w:rPr>
          <w:lang w:eastAsia="zh-CN"/>
        </w:rPr>
      </w:pPr>
      <w:r w:rsidRPr="00C13301">
        <w:rPr>
          <w:szCs w:val="22"/>
        </w:rPr>
        <w:t>Specify the aggressor UL RB Allocation as fully allocated.</w:t>
      </w:r>
    </w:p>
    <w:p w14:paraId="51B3937F" w14:textId="77777777" w:rsidR="00C13301" w:rsidRPr="00E56A06" w:rsidRDefault="00C13301" w:rsidP="00C13301">
      <w:r w:rsidRPr="00E56A06">
        <w:rPr>
          <w:b/>
        </w:rPr>
        <w:t xml:space="preserve">Table </w:t>
      </w:r>
      <w:r w:rsidRPr="00E56A06">
        <w:rPr>
          <w:b/>
          <w:noProof/>
        </w:rPr>
        <w:fldChar w:fldCharType="begin"/>
      </w:r>
      <w:r w:rsidRPr="00E56A06">
        <w:rPr>
          <w:b/>
          <w:noProof/>
        </w:rPr>
        <w:instrText xml:space="preserve"> SEQ Table \* ARABIC </w:instrText>
      </w:r>
      <w:r w:rsidRPr="00E56A06">
        <w:rPr>
          <w:b/>
          <w:noProof/>
        </w:rPr>
        <w:fldChar w:fldCharType="separate"/>
      </w:r>
      <w:r w:rsidRPr="00E56A06">
        <w:rPr>
          <w:b/>
          <w:noProof/>
        </w:rPr>
        <w:t>3</w:t>
      </w:r>
      <w:r w:rsidRPr="00E56A06">
        <w:rPr>
          <w:b/>
          <w:noProof/>
        </w:rPr>
        <w:fldChar w:fldCharType="end"/>
      </w:r>
      <w:bookmarkEnd w:id="7"/>
      <w:r>
        <w:t xml:space="preserve">: </w:t>
      </w:r>
      <w:r w:rsidRPr="00E56A06">
        <w:t>Proposed</w:t>
      </w:r>
      <w:r>
        <w:t xml:space="preserve"> concept and format changes</w:t>
      </w:r>
      <w:r w:rsidRPr="00E56A06">
        <w:t xml:space="preserve"> to Table </w:t>
      </w:r>
      <w:r w:rsidRPr="00E56A06">
        <w:rPr>
          <w:lang w:eastAsia="zh-CN"/>
        </w:rPr>
        <w:t xml:space="preserve">7.3A.6-1 </w:t>
      </w:r>
      <w:r w:rsidRPr="00E56A06">
        <w:t xml:space="preserve">and elimination of </w:t>
      </w:r>
      <w:r w:rsidRPr="00E56A06">
        <w:rPr>
          <w:lang w:eastAsia="zh-CN"/>
        </w:rPr>
        <w:t xml:space="preserve">Table 7.3A.6.2 </w:t>
      </w:r>
      <w:r w:rsidRPr="00E56A06">
        <w:t>to capture REFSENS exceptions due to cross-band isolation for the example case of NR CA_n1-n3.</w:t>
      </w:r>
    </w:p>
    <w:tbl>
      <w:tblPr>
        <w:tblW w:w="0" w:type="auto"/>
        <w:jc w:val="center"/>
        <w:tblLook w:val="04A0" w:firstRow="1" w:lastRow="0" w:firstColumn="1" w:lastColumn="0" w:noHBand="0" w:noVBand="1"/>
      </w:tblPr>
      <w:tblGrid>
        <w:gridCol w:w="936"/>
        <w:gridCol w:w="936"/>
        <w:gridCol w:w="717"/>
        <w:gridCol w:w="806"/>
        <w:gridCol w:w="1686"/>
        <w:gridCol w:w="867"/>
        <w:gridCol w:w="806"/>
        <w:gridCol w:w="667"/>
      </w:tblGrid>
      <w:tr w:rsidR="00C13301" w:rsidRPr="00CF59DD" w14:paraId="7D987672" w14:textId="77777777" w:rsidTr="000B4118">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12E5556"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98CBB28"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auto"/>
            <w:vAlign w:val="center"/>
          </w:tcPr>
          <w:p w14:paraId="46F4AB32"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UL F</w:t>
            </w:r>
            <w:r w:rsidRPr="00CF59DD">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335889D0"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UL BW</w:t>
            </w:r>
          </w:p>
        </w:tc>
        <w:tc>
          <w:tcPr>
            <w:tcW w:w="0" w:type="auto"/>
            <w:tcBorders>
              <w:top w:val="single" w:sz="8" w:space="0" w:color="auto"/>
              <w:left w:val="nil"/>
              <w:bottom w:val="nil"/>
              <w:right w:val="single" w:sz="8" w:space="0" w:color="auto"/>
            </w:tcBorders>
            <w:shd w:val="clear" w:color="auto" w:fill="auto"/>
            <w:vAlign w:val="center"/>
          </w:tcPr>
          <w:p w14:paraId="66ABB293"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UL RB Allocation</w:t>
            </w:r>
          </w:p>
        </w:tc>
        <w:tc>
          <w:tcPr>
            <w:tcW w:w="0" w:type="auto"/>
            <w:tcBorders>
              <w:top w:val="single" w:sz="8" w:space="0" w:color="auto"/>
              <w:left w:val="single" w:sz="8" w:space="0" w:color="auto"/>
              <w:right w:val="single" w:sz="8" w:space="0" w:color="auto"/>
            </w:tcBorders>
            <w:vAlign w:val="center"/>
          </w:tcPr>
          <w:p w14:paraId="63EE8C37"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DL F</w:t>
            </w:r>
            <w:r w:rsidRPr="00CF59DD">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shd w:val="clear" w:color="auto" w:fill="auto"/>
            <w:vAlign w:val="center"/>
          </w:tcPr>
          <w:p w14:paraId="5185F983"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shd w:val="clear" w:color="auto" w:fill="auto"/>
            <w:vAlign w:val="center"/>
          </w:tcPr>
          <w:p w14:paraId="1BC20722"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MSD</w:t>
            </w:r>
          </w:p>
        </w:tc>
      </w:tr>
      <w:tr w:rsidR="00C13301" w:rsidRPr="00CF59DD" w14:paraId="1F7DAAD1" w14:textId="77777777" w:rsidTr="000B4118">
        <w:trPr>
          <w:trHeight w:val="492"/>
          <w:jc w:val="center"/>
        </w:trPr>
        <w:tc>
          <w:tcPr>
            <w:tcW w:w="0" w:type="auto"/>
            <w:vMerge/>
            <w:tcBorders>
              <w:top w:val="single" w:sz="8" w:space="0" w:color="auto"/>
              <w:left w:val="single" w:sz="8" w:space="0" w:color="auto"/>
              <w:bottom w:val="single" w:sz="8" w:space="0" w:color="000000"/>
              <w:right w:val="single" w:sz="8" w:space="0" w:color="auto"/>
            </w:tcBorders>
            <w:vAlign w:val="center"/>
          </w:tcPr>
          <w:p w14:paraId="5D04DE1C" w14:textId="77777777" w:rsidR="00C13301" w:rsidRPr="00CF59DD" w:rsidRDefault="00C13301" w:rsidP="000B4118">
            <w:pPr>
              <w:spacing w:after="0"/>
              <w:jc w:val="center"/>
              <w:rPr>
                <w:rFonts w:ascii="Arial" w:hAnsi="Arial" w:cs="Arial"/>
                <w:b/>
                <w:bCs/>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tcPr>
          <w:p w14:paraId="1EC9CB30" w14:textId="77777777" w:rsidR="00C13301" w:rsidRPr="00CF59DD" w:rsidRDefault="00C13301" w:rsidP="000B4118">
            <w:pPr>
              <w:spacing w:after="0"/>
              <w:jc w:val="center"/>
              <w:rPr>
                <w:rFonts w:ascii="Arial" w:hAnsi="Arial" w:cs="Arial"/>
                <w:b/>
                <w:bCs/>
                <w:color w:val="000000"/>
                <w:sz w:val="18"/>
                <w:szCs w:val="18"/>
              </w:rPr>
            </w:pPr>
          </w:p>
        </w:tc>
        <w:tc>
          <w:tcPr>
            <w:tcW w:w="0" w:type="auto"/>
            <w:tcBorders>
              <w:top w:val="nil"/>
              <w:left w:val="nil"/>
              <w:bottom w:val="single" w:sz="8" w:space="0" w:color="auto"/>
              <w:right w:val="single" w:sz="8" w:space="0" w:color="auto"/>
            </w:tcBorders>
            <w:shd w:val="clear" w:color="auto" w:fill="auto"/>
            <w:vAlign w:val="center"/>
          </w:tcPr>
          <w:p w14:paraId="3E84C34F"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0645837F"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33D251CA"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L</w:t>
            </w:r>
            <w:r w:rsidRPr="00CF59DD">
              <w:rPr>
                <w:rFonts w:ascii="Arial" w:hAnsi="Arial" w:cs="Arial"/>
                <w:b/>
                <w:bCs/>
                <w:color w:val="000000"/>
                <w:sz w:val="18"/>
                <w:szCs w:val="18"/>
                <w:vertAlign w:val="subscript"/>
              </w:rPr>
              <w:t>CRB</w:t>
            </w:r>
          </w:p>
        </w:tc>
        <w:tc>
          <w:tcPr>
            <w:tcW w:w="0" w:type="auto"/>
            <w:tcBorders>
              <w:left w:val="single" w:sz="8" w:space="0" w:color="auto"/>
              <w:bottom w:val="single" w:sz="8" w:space="0" w:color="000000"/>
              <w:right w:val="single" w:sz="8" w:space="0" w:color="auto"/>
            </w:tcBorders>
            <w:vAlign w:val="center"/>
          </w:tcPr>
          <w:p w14:paraId="26988422"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4411C659"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(MHz)</w:t>
            </w:r>
          </w:p>
        </w:tc>
        <w:tc>
          <w:tcPr>
            <w:tcW w:w="0" w:type="auto"/>
            <w:tcBorders>
              <w:top w:val="nil"/>
              <w:left w:val="nil"/>
              <w:bottom w:val="single" w:sz="8" w:space="0" w:color="auto"/>
              <w:right w:val="single" w:sz="8" w:space="0" w:color="auto"/>
            </w:tcBorders>
            <w:shd w:val="clear" w:color="auto" w:fill="auto"/>
            <w:vAlign w:val="center"/>
          </w:tcPr>
          <w:p w14:paraId="78F30E6F" w14:textId="77777777" w:rsidR="00C13301" w:rsidRPr="00CF59DD" w:rsidRDefault="00C13301" w:rsidP="000B4118">
            <w:pPr>
              <w:spacing w:after="0"/>
              <w:jc w:val="center"/>
              <w:rPr>
                <w:rFonts w:ascii="Arial" w:hAnsi="Arial" w:cs="Arial"/>
                <w:b/>
                <w:bCs/>
                <w:color w:val="000000"/>
                <w:sz w:val="18"/>
                <w:szCs w:val="18"/>
              </w:rPr>
            </w:pPr>
            <w:r w:rsidRPr="00CF59DD">
              <w:rPr>
                <w:rFonts w:ascii="Arial" w:hAnsi="Arial" w:cs="Arial"/>
                <w:b/>
                <w:bCs/>
                <w:color w:val="000000"/>
                <w:sz w:val="18"/>
                <w:szCs w:val="18"/>
              </w:rPr>
              <w:t>(dB)</w:t>
            </w:r>
          </w:p>
        </w:tc>
      </w:tr>
      <w:tr w:rsidR="00C13301" w:rsidRPr="00DC7B0A" w14:paraId="73FF6B97" w14:textId="77777777" w:rsidTr="000B4118">
        <w:trPr>
          <w:trHeight w:val="300"/>
          <w:jc w:val="center"/>
        </w:trPr>
        <w:tc>
          <w:tcPr>
            <w:tcW w:w="0" w:type="auto"/>
            <w:tcBorders>
              <w:top w:val="nil"/>
              <w:left w:val="single" w:sz="8" w:space="0" w:color="auto"/>
              <w:bottom w:val="single" w:sz="8" w:space="0" w:color="auto"/>
              <w:right w:val="single" w:sz="8" w:space="0" w:color="auto"/>
            </w:tcBorders>
            <w:shd w:val="clear" w:color="auto" w:fill="auto"/>
            <w:vAlign w:val="center"/>
          </w:tcPr>
          <w:p w14:paraId="330EDC62" w14:textId="77777777" w:rsidR="00C13301" w:rsidRPr="00DC7B0A" w:rsidRDefault="00C13301" w:rsidP="000B4118">
            <w:pPr>
              <w:spacing w:after="0"/>
              <w:jc w:val="center"/>
              <w:rPr>
                <w:rFonts w:ascii="Arial" w:hAnsi="Arial" w:cs="Arial"/>
                <w:i/>
                <w:color w:val="000000"/>
                <w:sz w:val="18"/>
                <w:szCs w:val="18"/>
              </w:rPr>
            </w:pPr>
            <w:r w:rsidRPr="00DC7B0A">
              <w:rPr>
                <w:rFonts w:ascii="Arial" w:hAnsi="Arial" w:cs="Arial"/>
                <w:i/>
                <w:color w:val="000000"/>
                <w:sz w:val="18"/>
                <w:szCs w:val="18"/>
                <w:lang w:eastAsia="zh-CN"/>
              </w:rPr>
              <w:t>n1</w:t>
            </w:r>
          </w:p>
        </w:tc>
        <w:tc>
          <w:tcPr>
            <w:tcW w:w="0" w:type="auto"/>
            <w:tcBorders>
              <w:top w:val="nil"/>
              <w:left w:val="nil"/>
              <w:bottom w:val="single" w:sz="8" w:space="0" w:color="auto"/>
              <w:right w:val="single" w:sz="8" w:space="0" w:color="auto"/>
            </w:tcBorders>
            <w:shd w:val="clear" w:color="auto" w:fill="auto"/>
            <w:vAlign w:val="center"/>
          </w:tcPr>
          <w:p w14:paraId="5C2967E1" w14:textId="77777777" w:rsidR="00C13301" w:rsidRPr="00DC7B0A" w:rsidRDefault="00C13301" w:rsidP="000B4118">
            <w:pPr>
              <w:spacing w:after="0"/>
              <w:jc w:val="center"/>
              <w:rPr>
                <w:rFonts w:ascii="Arial" w:hAnsi="Arial" w:cs="Arial"/>
                <w:i/>
                <w:color w:val="000000"/>
                <w:sz w:val="18"/>
                <w:szCs w:val="18"/>
              </w:rPr>
            </w:pPr>
            <w:r w:rsidRPr="00DC7B0A">
              <w:rPr>
                <w:rFonts w:ascii="Arial" w:hAnsi="Arial" w:cs="Arial"/>
                <w:i/>
                <w:color w:val="000000"/>
                <w:sz w:val="18"/>
                <w:szCs w:val="18"/>
                <w:lang w:eastAsia="ja-JP"/>
              </w:rPr>
              <w:t>n3</w:t>
            </w:r>
          </w:p>
        </w:tc>
        <w:tc>
          <w:tcPr>
            <w:tcW w:w="0" w:type="auto"/>
            <w:tcBorders>
              <w:top w:val="nil"/>
              <w:left w:val="nil"/>
              <w:bottom w:val="single" w:sz="8" w:space="0" w:color="auto"/>
              <w:right w:val="nil"/>
            </w:tcBorders>
            <w:shd w:val="clear" w:color="auto" w:fill="FFFF00"/>
            <w:noWrap/>
            <w:vAlign w:val="center"/>
          </w:tcPr>
          <w:p w14:paraId="3B82F922" w14:textId="77777777" w:rsidR="00C13301" w:rsidRPr="00DC7B0A" w:rsidRDefault="00C13301" w:rsidP="000B4118">
            <w:pPr>
              <w:spacing w:after="0"/>
              <w:jc w:val="center"/>
              <w:rPr>
                <w:rFonts w:ascii="Arial" w:hAnsi="Arial" w:cs="Arial"/>
                <w:bCs/>
                <w:i/>
                <w:color w:val="4472C4"/>
                <w:sz w:val="18"/>
                <w:szCs w:val="18"/>
              </w:rPr>
            </w:pPr>
            <w:r w:rsidRPr="00DC7B0A">
              <w:rPr>
                <w:rFonts w:ascii="Arial" w:hAnsi="Arial" w:cs="Arial"/>
                <w:bCs/>
                <w:i/>
                <w:color w:val="4472C4"/>
                <w:sz w:val="18"/>
                <w:szCs w:val="18"/>
              </w:rPr>
              <w:t>[1945]</w:t>
            </w:r>
          </w:p>
        </w:tc>
        <w:tc>
          <w:tcPr>
            <w:tcW w:w="0" w:type="auto"/>
            <w:tcBorders>
              <w:top w:val="nil"/>
              <w:left w:val="single" w:sz="8" w:space="0" w:color="auto"/>
              <w:bottom w:val="single" w:sz="8" w:space="0" w:color="auto"/>
              <w:right w:val="single" w:sz="8" w:space="0" w:color="auto"/>
            </w:tcBorders>
            <w:shd w:val="clear" w:color="auto" w:fill="FFFF00"/>
            <w:noWrap/>
            <w:vAlign w:val="center"/>
          </w:tcPr>
          <w:p w14:paraId="2A9C5163" w14:textId="77777777" w:rsidR="00C13301" w:rsidRPr="00DC7B0A" w:rsidRDefault="00C13301" w:rsidP="000B4118">
            <w:pPr>
              <w:spacing w:after="0"/>
              <w:jc w:val="center"/>
              <w:rPr>
                <w:rFonts w:ascii="Arial" w:hAnsi="Arial" w:cs="Arial"/>
                <w:bCs/>
                <w:i/>
                <w:color w:val="4472C4"/>
                <w:sz w:val="18"/>
                <w:szCs w:val="18"/>
              </w:rPr>
            </w:pPr>
            <w:r w:rsidRPr="00DC7B0A">
              <w:rPr>
                <w:rFonts w:ascii="Arial" w:hAnsi="Arial" w:cs="Arial"/>
                <w:bCs/>
                <w:i/>
                <w:color w:val="4472C4"/>
                <w:sz w:val="18"/>
                <w:szCs w:val="18"/>
              </w:rPr>
              <w:t>[50]</w:t>
            </w:r>
          </w:p>
        </w:tc>
        <w:tc>
          <w:tcPr>
            <w:tcW w:w="0" w:type="auto"/>
            <w:tcBorders>
              <w:top w:val="nil"/>
              <w:left w:val="nil"/>
              <w:bottom w:val="single" w:sz="8" w:space="0" w:color="auto"/>
              <w:right w:val="nil"/>
            </w:tcBorders>
            <w:shd w:val="clear" w:color="auto" w:fill="FFFF00"/>
            <w:noWrap/>
            <w:vAlign w:val="center"/>
          </w:tcPr>
          <w:p w14:paraId="49EB1A1B" w14:textId="77777777" w:rsidR="00C13301" w:rsidRPr="00DC7B0A" w:rsidRDefault="00C13301" w:rsidP="000B4118">
            <w:pPr>
              <w:spacing w:after="0"/>
              <w:jc w:val="center"/>
              <w:rPr>
                <w:rFonts w:ascii="Arial" w:hAnsi="Arial" w:cs="Arial"/>
                <w:bCs/>
                <w:i/>
                <w:color w:val="4472C4"/>
                <w:sz w:val="18"/>
                <w:szCs w:val="18"/>
              </w:rPr>
            </w:pPr>
            <w:r w:rsidRPr="00DC7B0A">
              <w:rPr>
                <w:rFonts w:ascii="Arial" w:hAnsi="Arial" w:cs="Arial"/>
                <w:bCs/>
                <w:i/>
                <w:color w:val="4472C4"/>
                <w:sz w:val="18"/>
                <w:szCs w:val="18"/>
              </w:rPr>
              <w:t>[270 (</w:t>
            </w:r>
            <w:proofErr w:type="spellStart"/>
            <w:r w:rsidRPr="00DC7B0A">
              <w:rPr>
                <w:rFonts w:ascii="Arial" w:hAnsi="Arial" w:cs="Arial"/>
                <w:bCs/>
                <w:i/>
                <w:color w:val="4472C4"/>
                <w:sz w:val="18"/>
                <w:szCs w:val="18"/>
              </w:rPr>
              <w:t>RBstart</w:t>
            </w:r>
            <w:proofErr w:type="spellEnd"/>
            <w:r w:rsidRPr="00DC7B0A">
              <w:rPr>
                <w:rFonts w:ascii="Arial" w:hAnsi="Arial" w:cs="Arial"/>
                <w:bCs/>
                <w:i/>
                <w:color w:val="4472C4"/>
                <w:sz w:val="18"/>
                <w:szCs w:val="18"/>
              </w:rPr>
              <w:t>=0)]</w:t>
            </w:r>
          </w:p>
        </w:tc>
        <w:tc>
          <w:tcPr>
            <w:tcW w:w="0" w:type="auto"/>
            <w:tcBorders>
              <w:top w:val="nil"/>
              <w:left w:val="single" w:sz="8" w:space="0" w:color="auto"/>
              <w:bottom w:val="single" w:sz="8" w:space="0" w:color="auto"/>
              <w:right w:val="single" w:sz="8" w:space="0" w:color="auto"/>
            </w:tcBorders>
            <w:shd w:val="clear" w:color="auto" w:fill="FFFF00"/>
            <w:vAlign w:val="center"/>
          </w:tcPr>
          <w:p w14:paraId="5B55612A" w14:textId="77777777" w:rsidR="00C13301" w:rsidRPr="00DC7B0A" w:rsidRDefault="00C13301" w:rsidP="000B4118">
            <w:pPr>
              <w:spacing w:after="0"/>
              <w:jc w:val="center"/>
              <w:rPr>
                <w:rFonts w:ascii="Arial" w:hAnsi="Arial" w:cs="Arial"/>
                <w:bCs/>
                <w:i/>
                <w:color w:val="4472C4"/>
                <w:sz w:val="18"/>
                <w:szCs w:val="18"/>
              </w:rPr>
            </w:pPr>
            <w:r w:rsidRPr="00DC7B0A">
              <w:rPr>
                <w:rFonts w:ascii="Arial" w:hAnsi="Arial" w:cs="Arial"/>
                <w:bCs/>
                <w:i/>
                <w:color w:val="4472C4"/>
                <w:sz w:val="18"/>
                <w:szCs w:val="18"/>
              </w:rPr>
              <w:t>[1877.5]</w:t>
            </w:r>
          </w:p>
        </w:tc>
        <w:tc>
          <w:tcPr>
            <w:tcW w:w="0" w:type="auto"/>
            <w:tcBorders>
              <w:top w:val="nil"/>
              <w:left w:val="nil"/>
              <w:bottom w:val="single" w:sz="8" w:space="0" w:color="auto"/>
              <w:right w:val="single" w:sz="8" w:space="0" w:color="auto"/>
            </w:tcBorders>
            <w:shd w:val="clear" w:color="auto" w:fill="auto"/>
            <w:noWrap/>
            <w:vAlign w:val="center"/>
          </w:tcPr>
          <w:p w14:paraId="757D5C8D" w14:textId="77777777" w:rsidR="00C13301" w:rsidRPr="00DC7B0A" w:rsidRDefault="00C13301" w:rsidP="000B4118">
            <w:pPr>
              <w:spacing w:after="0"/>
              <w:jc w:val="center"/>
              <w:rPr>
                <w:rFonts w:ascii="Arial" w:hAnsi="Arial" w:cs="Arial"/>
                <w:i/>
                <w:color w:val="000000"/>
                <w:sz w:val="18"/>
                <w:szCs w:val="18"/>
              </w:rPr>
            </w:pPr>
            <w:r w:rsidRPr="00DC7B0A">
              <w:rPr>
                <w:rFonts w:ascii="Arial" w:hAnsi="Arial" w:cs="Arial"/>
                <w:i/>
                <w:color w:val="000000"/>
                <w:sz w:val="18"/>
                <w:szCs w:val="18"/>
              </w:rPr>
              <w:t>5</w:t>
            </w:r>
          </w:p>
        </w:tc>
        <w:tc>
          <w:tcPr>
            <w:tcW w:w="0" w:type="auto"/>
            <w:tcBorders>
              <w:top w:val="nil"/>
              <w:left w:val="nil"/>
              <w:bottom w:val="single" w:sz="8" w:space="0" w:color="auto"/>
              <w:right w:val="nil"/>
            </w:tcBorders>
            <w:shd w:val="clear" w:color="auto" w:fill="FFFF00"/>
            <w:noWrap/>
            <w:vAlign w:val="center"/>
          </w:tcPr>
          <w:p w14:paraId="65547452" w14:textId="77777777" w:rsidR="00C13301" w:rsidRPr="00DC7B0A" w:rsidRDefault="00C13301" w:rsidP="000B4118">
            <w:pPr>
              <w:spacing w:after="0"/>
              <w:jc w:val="center"/>
              <w:rPr>
                <w:rFonts w:ascii="Arial" w:hAnsi="Arial" w:cs="Arial"/>
                <w:bCs/>
                <w:i/>
                <w:color w:val="000000"/>
                <w:sz w:val="18"/>
                <w:szCs w:val="18"/>
              </w:rPr>
            </w:pPr>
            <w:r w:rsidRPr="00DC7B0A">
              <w:rPr>
                <w:rFonts w:ascii="Arial" w:hAnsi="Arial" w:cs="Arial"/>
                <w:bCs/>
                <w:i/>
                <w:color w:val="000000"/>
                <w:sz w:val="18"/>
                <w:szCs w:val="18"/>
              </w:rPr>
              <w:t>[22.5]</w:t>
            </w:r>
          </w:p>
        </w:tc>
      </w:tr>
    </w:tbl>
    <w:p w14:paraId="28CF7F16" w14:textId="77777777" w:rsidR="00C13301" w:rsidRDefault="00C13301" w:rsidP="00C13301">
      <w:pPr>
        <w:rPr>
          <w:i/>
          <w:color w:val="0000FF"/>
          <w:lang w:eastAsia="zh-CN"/>
        </w:rPr>
      </w:pPr>
    </w:p>
    <w:p w14:paraId="468D970B" w14:textId="77777777" w:rsidR="00E82D8C" w:rsidRPr="00BA6E0E" w:rsidRDefault="00E82D8C" w:rsidP="00EA1C71">
      <w:pPr>
        <w:rPr>
          <w:b/>
        </w:rPr>
      </w:pPr>
    </w:p>
    <w:p w14:paraId="7BE54F94" w14:textId="77777777" w:rsidR="00305289" w:rsidRDefault="00305289" w:rsidP="00305289">
      <w:pPr>
        <w:pStyle w:val="Heading1"/>
      </w:pPr>
      <w:r>
        <w:t>Conclusions</w:t>
      </w:r>
    </w:p>
    <w:p w14:paraId="5C525490" w14:textId="194FD76F" w:rsidR="00CC0435" w:rsidRDefault="00C13301" w:rsidP="00BA6E0E">
      <w:pPr>
        <w:spacing w:after="0"/>
        <w:jc w:val="both"/>
      </w:pPr>
      <w:r>
        <w:t>In this contribution</w:t>
      </w:r>
      <w:r w:rsidR="00E956E1">
        <w:t>,</w:t>
      </w:r>
      <w:r>
        <w:t xml:space="preserve"> we propose ways to reduce</w:t>
      </w:r>
      <w:r w:rsidR="00E956E1">
        <w:t xml:space="preserve"> the</w:t>
      </w:r>
      <w:r>
        <w:t xml:space="preserve"> RAN4 workload and specification</w:t>
      </w:r>
      <w:r w:rsidR="00E956E1">
        <w:t>’</w:t>
      </w:r>
      <w:r>
        <w:t xml:space="preserve">s complexity by adopting a single MSD test point per aggressor/victim’s pair for the case of MSD due interference and MSD due to cross-band isolation. </w:t>
      </w:r>
    </w:p>
    <w:p w14:paraId="0779542A" w14:textId="549E7F83" w:rsidR="00DC7B0A" w:rsidRDefault="00DC7B0A" w:rsidP="00BA6E0E">
      <w:pPr>
        <w:spacing w:after="0"/>
        <w:jc w:val="both"/>
      </w:pPr>
    </w:p>
    <w:p w14:paraId="7D3E352E" w14:textId="77777777" w:rsidR="00DC7B0A" w:rsidRDefault="00DC7B0A" w:rsidP="00DC7B0A">
      <w:pPr>
        <w:jc w:val="both"/>
        <w:rPr>
          <w:b/>
          <w:lang w:val="en-GB"/>
        </w:rPr>
      </w:pPr>
      <w:r w:rsidRPr="00D66633">
        <w:rPr>
          <w:b/>
          <w:lang w:val="en-GB"/>
        </w:rPr>
        <w:t xml:space="preserve">Proposal 1: </w:t>
      </w:r>
    </w:p>
    <w:p w14:paraId="568B308D" w14:textId="16913CAC" w:rsidR="00DC7B0A" w:rsidRDefault="00DC7B0A" w:rsidP="000675F0">
      <w:pPr>
        <w:pStyle w:val="ListParagraph"/>
        <w:numPr>
          <w:ilvl w:val="0"/>
          <w:numId w:val="16"/>
        </w:numPr>
        <w:jc w:val="both"/>
        <w:rPr>
          <w:lang w:val="en-GB"/>
        </w:rPr>
      </w:pPr>
      <w:r w:rsidRPr="00C13301">
        <w:rPr>
          <w:lang w:val="en-GB"/>
        </w:rPr>
        <w:t>Adopt only one MSD test point per aggressor/victim pair of bands and per hit condition (complete harmonic overlap/near miss overlap). This MSD test point is that which leads to the worst-case/highest victim’s MSD level. This corresponds to the lowest victim’s CBW;</w:t>
      </w:r>
      <w:bookmarkStart w:id="8" w:name="_GoBack"/>
      <w:bookmarkEnd w:id="8"/>
    </w:p>
    <w:p w14:paraId="34D28164" w14:textId="77777777" w:rsidR="00DC7B0A" w:rsidRPr="00C13301" w:rsidRDefault="00DC7B0A" w:rsidP="000675F0">
      <w:pPr>
        <w:pStyle w:val="ListParagraph"/>
        <w:numPr>
          <w:ilvl w:val="0"/>
          <w:numId w:val="16"/>
        </w:numPr>
        <w:jc w:val="both"/>
        <w:rPr>
          <w:lang w:val="en-GB"/>
        </w:rPr>
      </w:pPr>
      <w:r w:rsidRPr="00C13301">
        <w:rPr>
          <w:lang w:val="en-GB"/>
        </w:rPr>
        <w:t>Specify the UL/DL test carrier frequencies and test channel bandwidth.</w:t>
      </w:r>
    </w:p>
    <w:p w14:paraId="0ABAAFF3" w14:textId="77777777" w:rsidR="00DC7B0A" w:rsidRPr="00C13301" w:rsidRDefault="00DC7B0A" w:rsidP="000675F0">
      <w:pPr>
        <w:pStyle w:val="ListParagraph"/>
        <w:numPr>
          <w:ilvl w:val="0"/>
          <w:numId w:val="16"/>
        </w:numPr>
        <w:jc w:val="both"/>
        <w:rPr>
          <w:lang w:val="en-GB"/>
        </w:rPr>
      </w:pPr>
      <w:r w:rsidRPr="00C13301">
        <w:rPr>
          <w:lang w:val="en-GB"/>
        </w:rPr>
        <w:t>Specify the aggressor UL RB Allocation (</w:t>
      </w:r>
      <w:proofErr w:type="spellStart"/>
      <w:r w:rsidRPr="00C13301">
        <w:rPr>
          <w:lang w:val="en-GB"/>
        </w:rPr>
        <w:t>Lcrb</w:t>
      </w:r>
      <w:proofErr w:type="spellEnd"/>
      <w:r w:rsidRPr="00C13301">
        <w:rPr>
          <w:lang w:val="en-GB"/>
        </w:rPr>
        <w:t xml:space="preserve"> + </w:t>
      </w:r>
      <w:proofErr w:type="spellStart"/>
      <w:r w:rsidRPr="00C13301">
        <w:rPr>
          <w:lang w:val="en-GB"/>
        </w:rPr>
        <w:t>RBstart</w:t>
      </w:r>
      <w:proofErr w:type="spellEnd"/>
      <w:r w:rsidRPr="00C13301">
        <w:rPr>
          <w:lang w:val="en-GB"/>
        </w:rPr>
        <w:t xml:space="preserve">) which must guarantee that the UL harmonic PSD is entirely integrated by the </w:t>
      </w:r>
      <w:proofErr w:type="spellStart"/>
      <w:r w:rsidRPr="00C13301">
        <w:rPr>
          <w:lang w:val="en-GB"/>
        </w:rPr>
        <w:t>victyim’s</w:t>
      </w:r>
      <w:proofErr w:type="spellEnd"/>
      <w:r w:rsidRPr="00C13301">
        <w:rPr>
          <w:lang w:val="en-GB"/>
        </w:rPr>
        <w:t xml:space="preserve"> Rx CBW.</w:t>
      </w:r>
    </w:p>
    <w:p w14:paraId="36FCAFDB" w14:textId="77777777" w:rsidR="00DC7B0A" w:rsidRDefault="00DC7B0A" w:rsidP="000675F0">
      <w:pPr>
        <w:pStyle w:val="ListParagraph"/>
        <w:numPr>
          <w:ilvl w:val="0"/>
          <w:numId w:val="16"/>
        </w:numPr>
        <w:jc w:val="both"/>
        <w:rPr>
          <w:lang w:val="en-GB"/>
        </w:rPr>
      </w:pPr>
      <w:r w:rsidRPr="00C13301">
        <w:rPr>
          <w:lang w:val="en-GB"/>
        </w:rPr>
        <w:t>Specify the harmonic order.</w:t>
      </w:r>
    </w:p>
    <w:p w14:paraId="16F32F57" w14:textId="77777777" w:rsidR="00DC7B0A" w:rsidRPr="00C13301" w:rsidRDefault="00DC7B0A" w:rsidP="000675F0">
      <w:pPr>
        <w:pStyle w:val="ListParagraph"/>
        <w:numPr>
          <w:ilvl w:val="0"/>
          <w:numId w:val="16"/>
        </w:numPr>
        <w:jc w:val="both"/>
        <w:rPr>
          <w:lang w:val="en-GB"/>
        </w:rPr>
      </w:pPr>
      <w:r>
        <w:rPr>
          <w:lang w:val="en-GB"/>
        </w:rPr>
        <w:t>Specify equation-based representation to ensure the removed MSD test points can be calculated.</w:t>
      </w:r>
    </w:p>
    <w:p w14:paraId="0AC9459E" w14:textId="77777777" w:rsidR="00DC7B0A" w:rsidRPr="00C13301" w:rsidRDefault="00DC7B0A" w:rsidP="00DC7B0A">
      <w:pPr>
        <w:rPr>
          <w:szCs w:val="22"/>
        </w:rPr>
      </w:pPr>
      <w:r w:rsidRPr="0057770C">
        <w:rPr>
          <w:b/>
          <w:lang w:eastAsia="zh-CN"/>
        </w:rPr>
        <w:t xml:space="preserve">Proposal </w:t>
      </w:r>
      <w:r>
        <w:rPr>
          <w:b/>
          <w:lang w:eastAsia="zh-CN"/>
        </w:rPr>
        <w:t xml:space="preserve">2: </w:t>
      </w:r>
      <w:r w:rsidRPr="00C13301">
        <w:rPr>
          <w:szCs w:val="22"/>
        </w:rPr>
        <w:t>To greatly simplify and eliminate the following MSD tables:</w:t>
      </w:r>
    </w:p>
    <w:p w14:paraId="66807FA9" w14:textId="77777777" w:rsidR="00DC7B0A" w:rsidRPr="00C13301" w:rsidRDefault="00DC7B0A" w:rsidP="000675F0">
      <w:pPr>
        <w:pStyle w:val="ListParagraph"/>
        <w:numPr>
          <w:ilvl w:val="0"/>
          <w:numId w:val="17"/>
        </w:numPr>
        <w:rPr>
          <w:lang w:eastAsia="zh-CN"/>
        </w:rPr>
      </w:pPr>
      <w:r w:rsidRPr="00C13301">
        <w:rPr>
          <w:lang w:eastAsia="zh-CN"/>
        </w:rPr>
        <w:t>Table 7.3A.6-1 (PC3 table),</w:t>
      </w:r>
      <w:r w:rsidRPr="00C13301">
        <w:t xml:space="preserve"> </w:t>
      </w:r>
      <w:r w:rsidRPr="00C13301">
        <w:rPr>
          <w:lang w:eastAsia="zh-CN"/>
        </w:rPr>
        <w:t>Table 7.3A.6-1a (PC2 table) and to eliminate Table 7.3A.6.2 (NR-CA Cross-band isolation MSD tables); and</w:t>
      </w:r>
    </w:p>
    <w:p w14:paraId="6AAE5840" w14:textId="77777777" w:rsidR="00DC7B0A" w:rsidRPr="00C13301" w:rsidRDefault="00DC7B0A" w:rsidP="000675F0">
      <w:pPr>
        <w:pStyle w:val="ListParagraph"/>
        <w:numPr>
          <w:ilvl w:val="0"/>
          <w:numId w:val="17"/>
        </w:numPr>
        <w:rPr>
          <w:lang w:eastAsia="zh-CN"/>
        </w:rPr>
      </w:pPr>
      <w:r w:rsidRPr="00C13301">
        <w:rPr>
          <w:lang w:eastAsia="zh-CN"/>
        </w:rPr>
        <w:t>Table 7.3C.2-4 and to eliminate Table 7.3C.2-5 (SUL Cross-band MSD tables).</w:t>
      </w:r>
    </w:p>
    <w:p w14:paraId="3D7C71A2" w14:textId="77777777" w:rsidR="00DC7B0A" w:rsidRPr="00C13301" w:rsidRDefault="00DC7B0A" w:rsidP="00DC7B0A">
      <w:pPr>
        <w:rPr>
          <w:szCs w:val="22"/>
        </w:rPr>
      </w:pPr>
      <w:r w:rsidRPr="00C13301">
        <w:rPr>
          <w:szCs w:val="22"/>
        </w:rPr>
        <w:t>Adopt the concept of Table 3 where:</w:t>
      </w:r>
    </w:p>
    <w:p w14:paraId="6A201A48" w14:textId="77777777" w:rsidR="00DC7B0A" w:rsidRPr="00C13301" w:rsidRDefault="00DC7B0A" w:rsidP="000675F0">
      <w:pPr>
        <w:pStyle w:val="ListParagraph"/>
        <w:numPr>
          <w:ilvl w:val="0"/>
          <w:numId w:val="18"/>
        </w:numPr>
        <w:rPr>
          <w:lang w:eastAsia="zh-CN"/>
        </w:rPr>
      </w:pPr>
      <w:r w:rsidRPr="00C13301">
        <w:rPr>
          <w:szCs w:val="22"/>
        </w:rPr>
        <w:t>Only one MSD test point is specified per aggressor/victim pair of bands. This MSD test point is that which leads to the worst-case/highest victim’s MSD level. This corresponds to the lowest victim’s CBW.</w:t>
      </w:r>
    </w:p>
    <w:p w14:paraId="6C9D3277" w14:textId="77777777" w:rsidR="00DC7B0A" w:rsidRPr="00C13301" w:rsidRDefault="00DC7B0A" w:rsidP="000675F0">
      <w:pPr>
        <w:pStyle w:val="ListParagraph"/>
        <w:numPr>
          <w:ilvl w:val="0"/>
          <w:numId w:val="18"/>
        </w:numPr>
        <w:rPr>
          <w:lang w:eastAsia="zh-CN"/>
        </w:rPr>
      </w:pPr>
      <w:r w:rsidRPr="00C13301">
        <w:rPr>
          <w:szCs w:val="22"/>
        </w:rPr>
        <w:t>Specify the UL/DL test carrier frequencies and test channel bandwidth.</w:t>
      </w:r>
    </w:p>
    <w:p w14:paraId="5F8E9D87" w14:textId="0F2DE0FF" w:rsidR="00DC7B0A" w:rsidRDefault="00DC7B0A" w:rsidP="000675F0">
      <w:pPr>
        <w:pStyle w:val="ListParagraph"/>
        <w:numPr>
          <w:ilvl w:val="0"/>
          <w:numId w:val="18"/>
        </w:numPr>
        <w:rPr>
          <w:lang w:eastAsia="zh-CN"/>
        </w:rPr>
      </w:pPr>
      <w:r w:rsidRPr="00C13301">
        <w:rPr>
          <w:szCs w:val="22"/>
        </w:rPr>
        <w:t>Specify the aggressor UL RB Allocation as fully allocated.</w:t>
      </w:r>
    </w:p>
    <w:p w14:paraId="03D6921F" w14:textId="77777777" w:rsidR="00F10F97" w:rsidRDefault="007321E3" w:rsidP="00C8525F">
      <w:pPr>
        <w:pStyle w:val="Heading1"/>
        <w:numPr>
          <w:ilvl w:val="0"/>
          <w:numId w:val="0"/>
        </w:numPr>
        <w:jc w:val="both"/>
      </w:pPr>
      <w:r>
        <w:t>R</w:t>
      </w:r>
      <w:r w:rsidR="00F10F97">
        <w:t>eferences</w:t>
      </w:r>
    </w:p>
    <w:p w14:paraId="21BEE1C3" w14:textId="658FAF77" w:rsidR="0041341A" w:rsidRDefault="00674679" w:rsidP="0041341A">
      <w:pPr>
        <w:ind w:left="567" w:hanging="567"/>
      </w:pPr>
      <w:r>
        <w:t>[1</w:t>
      </w:r>
      <w:r w:rsidRPr="00DD0023">
        <w:t>]</w:t>
      </w:r>
      <w:r>
        <w:t xml:space="preserve"> </w:t>
      </w:r>
      <w:r w:rsidR="0041341A">
        <w:tab/>
      </w:r>
      <w:r w:rsidR="0053661E" w:rsidRPr="0053661E">
        <w:t>R4-2114</w:t>
      </w:r>
      <w:r w:rsidR="00A16838">
        <w:t>920</w:t>
      </w:r>
      <w:r w:rsidR="00350A18">
        <w:t>,</w:t>
      </w:r>
      <w:r w:rsidR="00350A18" w:rsidRPr="00350A18">
        <w:t xml:space="preserve"> </w:t>
      </w:r>
      <w:r w:rsidR="00A16838" w:rsidRPr="00A16838">
        <w:t>WF on MSD improvement</w:t>
      </w:r>
      <w:r w:rsidR="0041341A">
        <w:t xml:space="preserve">, </w:t>
      </w:r>
      <w:r w:rsidR="00350A18" w:rsidRPr="00350A18">
        <w:t>3GPP TSG-RAN WG4 Meeting #</w:t>
      </w:r>
      <w:r w:rsidR="000A696D">
        <w:t>100</w:t>
      </w:r>
      <w:r w:rsidR="00350A18" w:rsidRPr="00350A18">
        <w:t xml:space="preserve">-e, </w:t>
      </w:r>
      <w:r w:rsidR="00A16838">
        <w:t xml:space="preserve">Huawei, </w:t>
      </w:r>
      <w:proofErr w:type="spellStart"/>
      <w:r w:rsidR="00A16838">
        <w:t>HiSilion</w:t>
      </w:r>
      <w:proofErr w:type="spellEnd"/>
      <w:r w:rsidR="00A16838">
        <w:t xml:space="preserve">, </w:t>
      </w:r>
      <w:r w:rsidR="000A696D" w:rsidRPr="000A696D">
        <w:t>Skywork</w:t>
      </w:r>
      <w:r w:rsidR="001D179C">
        <w:t>s Solutions</w:t>
      </w:r>
      <w:r w:rsidR="00E956E1">
        <w:t>,</w:t>
      </w:r>
      <w:r w:rsidR="001D179C">
        <w:t xml:space="preserve"> Inc</w:t>
      </w:r>
      <w:r w:rsidR="000A696D">
        <w:t>.</w:t>
      </w:r>
      <w:r w:rsidR="001D179C">
        <w:t xml:space="preserve"> </w:t>
      </w:r>
    </w:p>
    <w:p w14:paraId="1161E0F9" w14:textId="66985C44" w:rsidR="003A3ACA" w:rsidRDefault="003A3ACA" w:rsidP="00A16838">
      <w:pPr>
        <w:ind w:left="567" w:hanging="567"/>
      </w:pPr>
      <w:r>
        <w:t>[</w:t>
      </w:r>
      <w:r w:rsidR="003466CB">
        <w:t>2</w:t>
      </w:r>
      <w:r>
        <w:t>]</w:t>
      </w:r>
      <w:r>
        <w:tab/>
      </w:r>
      <w:r w:rsidR="00A16838" w:rsidRPr="00A16838">
        <w:t>R4-2114581</w:t>
      </w:r>
      <w:r>
        <w:t xml:space="preserve">, </w:t>
      </w:r>
      <w:r w:rsidR="00A16838" w:rsidRPr="00A16838">
        <w:t>BCS4 - Improvements to MSD Tables</w:t>
      </w:r>
      <w:r>
        <w:t xml:space="preserve">, </w:t>
      </w:r>
      <w:r w:rsidRPr="003A3ACA">
        <w:t>3GPP TSG-RAN WG4 #</w:t>
      </w:r>
      <w:r w:rsidR="00A16838">
        <w:t>100</w:t>
      </w:r>
      <w:r w:rsidRPr="003A3ACA">
        <w:t>-e</w:t>
      </w:r>
      <w:r>
        <w:t xml:space="preserve">, </w:t>
      </w:r>
      <w:r w:rsidRPr="003A3ACA">
        <w:t>Skyworks Solutions, Inc.</w:t>
      </w:r>
    </w:p>
    <w:p w14:paraId="20538B99" w14:textId="69B7517F" w:rsidR="00C13301" w:rsidRDefault="00C13301" w:rsidP="00C13301">
      <w:pPr>
        <w:ind w:left="567" w:hanging="567"/>
      </w:pPr>
      <w:r>
        <w:t>[3]</w:t>
      </w:r>
      <w:r>
        <w:tab/>
      </w:r>
      <w:r w:rsidRPr="00E56A06">
        <w:t>R4-2107322, Impact of Large NR BW on Crossband MSD, 3GPP TSG-RAN WG4 #98bis-e, Online, Electronic Meeting, April 12th – 20th, 2021, Skyworks Solutions</w:t>
      </w:r>
      <w:r>
        <w:t>,</w:t>
      </w:r>
      <w:r w:rsidRPr="00E56A06">
        <w:t xml:space="preserve"> Inc</w:t>
      </w:r>
    </w:p>
    <w:p w14:paraId="7E188B12" w14:textId="4CC73A4C" w:rsidR="00C13301" w:rsidRDefault="00C13301" w:rsidP="00C13301">
      <w:pPr>
        <w:ind w:left="567" w:hanging="567"/>
      </w:pPr>
      <w:r>
        <w:t>[4]</w:t>
      </w:r>
      <w:r>
        <w:tab/>
      </w:r>
      <w:r w:rsidRPr="00E56A06">
        <w:t xml:space="preserve">R4-2102928, Cross-band MSD for ENDC and NR-CA BCS4, 3GPP TSG-RAN WG4 Meeting #98-e, Electronic Meeting, 25 January – 5 </w:t>
      </w:r>
      <w:r w:rsidR="00DC7B0A" w:rsidRPr="00E56A06">
        <w:t>February</w:t>
      </w:r>
      <w:r w:rsidRPr="00E56A06">
        <w:t xml:space="preserve"> 2021, Skyworks Solutions</w:t>
      </w:r>
      <w:r>
        <w:t>,</w:t>
      </w:r>
      <w:r w:rsidRPr="00E56A06">
        <w:t xml:space="preserve"> Inc.</w:t>
      </w:r>
    </w:p>
    <w:p w14:paraId="477CF247" w14:textId="0BDE625F" w:rsidR="003A3ACA" w:rsidRDefault="003A3ACA" w:rsidP="00CC0435">
      <w:pPr>
        <w:ind w:left="567" w:hanging="567"/>
      </w:pPr>
    </w:p>
    <w:p w14:paraId="3770730A" w14:textId="1AB94568" w:rsidR="003A3ACA" w:rsidRDefault="003A3ACA" w:rsidP="00CC0435">
      <w:pPr>
        <w:ind w:left="567" w:hanging="567"/>
      </w:pPr>
    </w:p>
    <w:sectPr w:rsidR="003A3ACA" w:rsidSect="0072107A">
      <w:footerReference w:type="default" r:id="rId11"/>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574E0" w14:textId="77777777" w:rsidR="00364CE4" w:rsidRDefault="00364CE4">
      <w:r>
        <w:separator/>
      </w:r>
    </w:p>
  </w:endnote>
  <w:endnote w:type="continuationSeparator" w:id="0">
    <w:p w14:paraId="57AE25F1" w14:textId="77777777" w:rsidR="00364CE4" w:rsidRDefault="00364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510F84" w:rsidRDefault="00510F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12CFF" w14:textId="77777777" w:rsidR="00364CE4" w:rsidRDefault="00364CE4">
      <w:r>
        <w:separator/>
      </w:r>
    </w:p>
  </w:footnote>
  <w:footnote w:type="continuationSeparator" w:id="0">
    <w:p w14:paraId="1DA56DA9" w14:textId="77777777" w:rsidR="00364CE4" w:rsidRDefault="00364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65D09D2"/>
    <w:multiLevelType w:val="hybridMultilevel"/>
    <w:tmpl w:val="BDCA9E32"/>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A71080F"/>
    <w:multiLevelType w:val="hybridMultilevel"/>
    <w:tmpl w:val="B8AAC2B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796744"/>
    <w:multiLevelType w:val="hybridMultilevel"/>
    <w:tmpl w:val="BFCA19AC"/>
    <w:lvl w:ilvl="0" w:tplc="6788486E">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8"/>
  </w:num>
  <w:num w:numId="4">
    <w:abstractNumId w:val="17"/>
  </w:num>
  <w:num w:numId="5">
    <w:abstractNumId w:val="4"/>
  </w:num>
  <w:num w:numId="6">
    <w:abstractNumId w:val="1"/>
  </w:num>
  <w:num w:numId="7">
    <w:abstractNumId w:val="9"/>
  </w:num>
  <w:num w:numId="8">
    <w:abstractNumId w:val="14"/>
  </w:num>
  <w:num w:numId="9">
    <w:abstractNumId w:val="16"/>
  </w:num>
  <w:num w:numId="10">
    <w:abstractNumId w:val="7"/>
  </w:num>
  <w:num w:numId="11">
    <w:abstractNumId w:val="15"/>
  </w:num>
  <w:num w:numId="12">
    <w:abstractNumId w:val="0"/>
  </w:num>
  <w:num w:numId="13">
    <w:abstractNumId w:val="5"/>
  </w:num>
  <w:num w:numId="14">
    <w:abstractNumId w:val="13"/>
  </w:num>
  <w:num w:numId="15">
    <w:abstractNumId w:val="10"/>
  </w:num>
  <w:num w:numId="16">
    <w:abstractNumId w:val="11"/>
  </w:num>
  <w:num w:numId="17">
    <w:abstractNumId w:val="12"/>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17E4"/>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88E"/>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5F0"/>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3D73"/>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58C"/>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D6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8C"/>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AE5"/>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07DC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4825"/>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6CB"/>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CE4"/>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3ACA"/>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3B"/>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0EE4"/>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E7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0F84"/>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61E"/>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AD1"/>
    <w:rsid w:val="00593D23"/>
    <w:rsid w:val="00594762"/>
    <w:rsid w:val="00595820"/>
    <w:rsid w:val="00595D9B"/>
    <w:rsid w:val="00596604"/>
    <w:rsid w:val="00596E62"/>
    <w:rsid w:val="00596F26"/>
    <w:rsid w:val="00597401"/>
    <w:rsid w:val="00597C42"/>
    <w:rsid w:val="00597D00"/>
    <w:rsid w:val="005A023F"/>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4F"/>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041"/>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6D57"/>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57E"/>
    <w:rsid w:val="00657B8D"/>
    <w:rsid w:val="00660409"/>
    <w:rsid w:val="006605A6"/>
    <w:rsid w:val="00660611"/>
    <w:rsid w:val="00660948"/>
    <w:rsid w:val="00661E43"/>
    <w:rsid w:val="00661EFA"/>
    <w:rsid w:val="00662326"/>
    <w:rsid w:val="00662465"/>
    <w:rsid w:val="00662717"/>
    <w:rsid w:val="00662C6B"/>
    <w:rsid w:val="00662D97"/>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2B94"/>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2DB7"/>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5E19"/>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075"/>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E68"/>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4FB8"/>
    <w:rsid w:val="00A15412"/>
    <w:rsid w:val="00A15C56"/>
    <w:rsid w:val="00A15C99"/>
    <w:rsid w:val="00A16066"/>
    <w:rsid w:val="00A163B8"/>
    <w:rsid w:val="00A1683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5C"/>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0FB2"/>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301"/>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1E"/>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AEB"/>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65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0FD7"/>
    <w:rsid w:val="00C918DD"/>
    <w:rsid w:val="00C91AEF"/>
    <w:rsid w:val="00C91DB5"/>
    <w:rsid w:val="00C931B5"/>
    <w:rsid w:val="00C933DC"/>
    <w:rsid w:val="00C9345F"/>
    <w:rsid w:val="00C936F9"/>
    <w:rsid w:val="00C94BF2"/>
    <w:rsid w:val="00C94F25"/>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CB2"/>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11A"/>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33"/>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6A9B"/>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5E65"/>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C7B0A"/>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265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2D8C"/>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6E1"/>
    <w:rsid w:val="00E958AA"/>
    <w:rsid w:val="00E96074"/>
    <w:rsid w:val="00E969EC"/>
    <w:rsid w:val="00E96ED7"/>
    <w:rsid w:val="00E97099"/>
    <w:rsid w:val="00E971C8"/>
    <w:rsid w:val="00E9744E"/>
    <w:rsid w:val="00EA0123"/>
    <w:rsid w:val="00EA0A48"/>
    <w:rsid w:val="00EA0DE7"/>
    <w:rsid w:val="00EA10FB"/>
    <w:rsid w:val="00EA110F"/>
    <w:rsid w:val="00EA1404"/>
    <w:rsid w:val="00EA14DB"/>
    <w:rsid w:val="00EA18CB"/>
    <w:rsid w:val="00EA18DA"/>
    <w:rsid w:val="00EA1A9E"/>
    <w:rsid w:val="00EA1C71"/>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1C99"/>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394"/>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7B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A44D5-BFFF-4496-894D-AD844AA12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11158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3</cp:revision>
  <cp:lastPrinted>2021-08-02T22:07:00Z</cp:lastPrinted>
  <dcterms:created xsi:type="dcterms:W3CDTF">2021-10-22T23:45:00Z</dcterms:created>
  <dcterms:modified xsi:type="dcterms:W3CDTF">2021-10-22T23:46:00Z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